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V</w:t>
      </w:r>
    </w:p>
    <w:p>
      <w:pPr>
        <w:pBdr>
          <w:bottom w:space="3"/>
        </w:pBdr>
        <w:spacing w:before="0" w:after="0"/>
        <w:ind w:left="120"/>
        <w:jc w:val="center"/>
      </w:pPr>
      <w:r>
        <w:rPr>
          <w:rFonts w:ascii="Times New Roman" w:hAnsi="Times New Roman"/>
          <w:b w:val="false"/>
          <w:i/>
          <w:color w:val="000000"/>
          <w:sz w:val="16"/>
        </w:rPr>
        <w:t>GENERAL SERVICES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100</w:t>
      </w:r>
    </w:p>
    <w:p>
      <w:pPr>
        <w:spacing w:before="0" w:after="0"/>
        <w:ind w:left="120"/>
        <w:jc w:val="center"/>
      </w:pPr>
      <w:r>
        <w:rPr>
          <w:rFonts w:ascii="Times New Roman" w:hAnsi="Times New Roman"/>
          <w:b w:val="false"/>
          <w:i w:val="false"/>
          <w:color w:val="000000"/>
          <w:sz w:val="21"/>
        </w:rPr>
        <w:t>CAPITOL COMPLEX OPERATIONS</w:t>
      </w:r>
    </w:p>
    <w:p>
      <w:pPr>
        <w:spacing w:before="0" w:after="0"/>
        <w:ind w:left="120"/>
        <w:jc w:val="center"/>
      </w:pPr>
      <w:r>
        <w:rPr>
          <w:rFonts w:ascii="Times New Roman" w:hAnsi="Times New Roman"/>
          <w:b w:val="false"/>
          <w:i w:val="false"/>
          <w:color w:val="000000"/>
          <w:sz w:val="14"/>
        </w:rPr>
        <w:t>[Prior to 9/17/03, see 401—Chapter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11—100.1</w:t>
      </w:r>
      <w:r>
        <w:rPr>
          <w:rFonts w:ascii="Times New Roman" w:hAnsi="Times New Roman"/>
          <w:b/>
          <w:i w:val="false"/>
          <w:color w:val="000000"/>
          <w:sz w:val="22"/>
        </w:rPr>
        <w:t xml:space="preserve">(8A)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contained in Iowa Code sections </w:t>
      </w:r>
      <w:hyperlink r:id="rId5">
        <w:r>
          <w:rPr>
            <w:rStyle w:val="Hyperlink"/>
            <w:rFonts w:ascii="Times New Roman" w:hAnsi="Times New Roman"/>
            <w:b w:val="false"/>
            <w:i w:val="false"/>
            <w:color w:val="000000"/>
            <w:sz w:val="22"/>
          </w:rPr>
          <w:t>8A.101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8A.301</w:t>
        </w:r>
      </w:hyperlink>
      <w:r>
        <w:rPr>
          <w:rFonts w:ascii="Times New Roman" w:hAnsi="Times New Roman"/>
          <w:b w:val="false"/>
          <w:i w:val="false"/>
          <w:color w:val="000000"/>
          <w:sz w:val="22"/>
        </w:rPr>
        <w:t xml:space="preserve"> shall be applicable to such terms when used in this chapter. In addition,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“Assignment of office space” </w:t>
      </w:r>
      <w:r>
        <w:rPr>
          <w:rFonts w:ascii="Times New Roman" w:hAnsi="Times New Roman"/>
          <w:b w:val="false"/>
          <w:i w:val="false"/>
          <w:color w:val="000000"/>
          <w:sz w:val="22"/>
        </w:rPr>
        <w:t>means space allocated by the department to a state agency for its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“Capitol complex” </w:t>
      </w:r>
      <w:r>
        <w:rPr>
          <w:rFonts w:ascii="Times New Roman" w:hAnsi="Times New Roman"/>
          <w:b w:val="false"/>
          <w:i w:val="false"/>
          <w:color w:val="000000"/>
          <w:sz w:val="22"/>
        </w:rPr>
        <w:t>means an area within the city of Des Moines in which the Iowa state capitol building is located. This area includes the state capitol building and all real property and appurtenances thereto owned by the state of Iowa within an area bounded on the north by Interstate Highway 235, on the east by East 14th Street, on the south by the northernmost railroad tracks south of Court Avenue and on the west by East 6th Street.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“Control of assigned office space” </w:t>
      </w:r>
      <w:r>
        <w:rPr>
          <w:rFonts w:ascii="Times New Roman" w:hAnsi="Times New Roman"/>
          <w:b w:val="false"/>
          <w:i w:val="false"/>
          <w:color w:val="000000"/>
          <w:sz w:val="22"/>
        </w:rPr>
        <w:t>means the ability of an agency to modify its use of assigned space without consultation with the department as long as changes do not include relocating wiring, replacing, adding or deleting modular office components, or making other modifications that would affect the floor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“Dangerous weapon” </w:t>
      </w:r>
      <w:r>
        <w:rPr>
          <w:rFonts w:ascii="Times New Roman" w:hAnsi="Times New Roman"/>
          <w:b w:val="false"/>
          <w:i w:val="false"/>
          <w:color w:val="000000"/>
          <w:sz w:val="22"/>
        </w:rPr>
        <w:t xml:space="preserve">means any instrument or device designed primarily for use in inflicting death or injury upon a human being or animal, and which is capable of inflicting death upon a human being when used in the manner for which it was designed. Additionally, any instrument or device of any sort whatsoever which is actually used in such a manner as to indicate that the person possessing the instrument or device intends to inflict death or serious injury upon the other, and which, when so used, is capable of inflicting death upon a human being, is a dangerous weapon. Dangerous weapons include, but are not limited to, any offensive weapon as defined in Iowa Code section </w:t>
      </w:r>
      <w:hyperlink r:id="rId7">
        <w:r>
          <w:rPr>
            <w:rStyle w:val="Hyperlink"/>
            <w:rFonts w:ascii="Times New Roman" w:hAnsi="Times New Roman"/>
            <w:b w:val="false"/>
            <w:i w:val="false"/>
            <w:color w:val="000000"/>
            <w:sz w:val="22"/>
          </w:rPr>
          <w:t>724.1</w:t>
        </w:r>
      </w:hyperlink>
      <w:r>
        <w:rPr>
          <w:rFonts w:ascii="Times New Roman" w:hAnsi="Times New Roman"/>
          <w:b w:val="false"/>
          <w:i w:val="false"/>
          <w:color w:val="000000"/>
          <w:sz w:val="22"/>
        </w:rPr>
        <w:t xml:space="preserve">, pistol, revolver, or other firearm, dagger, razor, stiletto, switchblade knife, or knife having a blade exceeding five inches in length. Pistols and revolvers are exempted from the definition of “dangerous weapons” only as set forth in </w:t>
      </w:r>
      <w:hyperlink r:id="rId8">
        <w:r>
          <w:rPr>
            <w:rStyle w:val="Hyperlink"/>
            <w:rFonts w:ascii="Times New Roman" w:hAnsi="Times New Roman"/>
            <w:b w:val="false"/>
            <w:i w:val="false"/>
            <w:color w:val="000000"/>
            <w:sz w:val="22"/>
          </w:rPr>
          <w:t>subrule 100.2(2)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“Facilities” </w:t>
      </w:r>
      <w:r>
        <w:rPr>
          <w:rFonts w:ascii="Times New Roman" w:hAnsi="Times New Roman"/>
          <w:b w:val="false"/>
          <w:i w:val="false"/>
          <w:color w:val="000000"/>
          <w:sz w:val="22"/>
        </w:rPr>
        <w:t>means the capitol complex buildings, grounds, and all related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“Memorandum of understanding”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“MOU” </w:t>
      </w:r>
      <w:r>
        <w:rPr>
          <w:rFonts w:ascii="Times New Roman" w:hAnsi="Times New Roman"/>
          <w:b w:val="false"/>
          <w:i w:val="false"/>
          <w:color w:val="000000"/>
          <w:sz w:val="22"/>
        </w:rPr>
        <w:t>means a written agreement that specifies terms, conditions and any related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“Modular office components” </w:t>
      </w:r>
      <w:r>
        <w:rPr>
          <w:rFonts w:ascii="Times New Roman" w:hAnsi="Times New Roman"/>
          <w:b w:val="false"/>
          <w:i w:val="false"/>
          <w:color w:val="000000"/>
          <w:sz w:val="22"/>
        </w:rPr>
        <w:t>means parts of a modular office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“Modular office systems” </w:t>
      </w:r>
      <w:r>
        <w:rPr>
          <w:rFonts w:ascii="Times New Roman" w:hAnsi="Times New Roman"/>
          <w:b w:val="false"/>
          <w:i w:val="false"/>
          <w:color w:val="000000"/>
          <w:sz w:val="22"/>
        </w:rPr>
        <w:t>means standard cubicle furniture; generally, two-foot, three-foot and four-foot sections that have attached work surfaces and file storage space. Modular office systems are available in new, remanufactured and recycled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“Office furniture” </w:t>
      </w:r>
      <w:r>
        <w:rPr>
          <w:rFonts w:ascii="Times New Roman" w:hAnsi="Times New Roman"/>
          <w:b w:val="false"/>
          <w:i w:val="false"/>
          <w:color w:val="000000"/>
          <w:sz w:val="22"/>
        </w:rPr>
        <w:t>means any furnishing that is free standing and does not require installation with component parts. Examples are desks, chairs, file cabinets, tables, lounge seating, and computer desks.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w:t>
      </w:r>
      <w:r>
        <w:rPr>
          <w:rFonts w:ascii="Times New Roman" w:hAnsi="Times New Roman"/>
          <w:b w:val="false"/>
          <w:i w:val="false"/>
          <w:color w:val="000000"/>
          <w:sz w:val="22"/>
        </w:rPr>
        <w:t>means a person on the capitol complex who is not employed by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“Recycled modular office components” </w:t>
      </w:r>
      <w:r>
        <w:rPr>
          <w:rFonts w:ascii="Times New Roman" w:hAnsi="Times New Roman"/>
          <w:b w:val="false"/>
          <w:i w:val="false"/>
          <w:color w:val="000000"/>
          <w:sz w:val="22"/>
        </w:rPr>
        <w:t>means used components that have been cleaned and have had broken parts replaced, but have not been disassembled and rebuilt.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“Remanufactured modular office components” </w:t>
      </w:r>
      <w:r>
        <w:rPr>
          <w:rFonts w:ascii="Times New Roman" w:hAnsi="Times New Roman"/>
          <w:b w:val="false"/>
          <w:i w:val="false"/>
          <w:color w:val="000000"/>
          <w:sz w:val="22"/>
        </w:rPr>
        <w:t>means used components that have been disassembled, repainted or reupholstered, rebuilt, and have had broken parts replaced. Remanufactured components are intended to be like new.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“Seat of government” </w:t>
      </w:r>
      <w:r>
        <w:rPr>
          <w:rFonts w:ascii="Times New Roman" w:hAnsi="Times New Roman"/>
          <w:b w:val="false"/>
          <w:i w:val="false"/>
          <w:color w:val="000000"/>
          <w:sz w:val="22"/>
        </w:rPr>
        <w:t>means office space at the capitol, other state buildings and elsewhere in the city of Des Moines for executive branch agencies, except those areas exempted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“Standard modular office systems” </w:t>
      </w:r>
      <w:r>
        <w:rPr>
          <w:rFonts w:ascii="Times New Roman" w:hAnsi="Times New Roman"/>
          <w:b w:val="false"/>
          <w:i w:val="false"/>
          <w:color w:val="000000"/>
          <w:sz w:val="22"/>
        </w:rPr>
        <w:t>means modular office systems that meet standards set by the department of administrative services, expressed by function and connectivity, for use by state agencies. These standards are for the purpose of facilitating reuse of modular office system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 xml:space="preserve">means a waiver as defined in </w:t>
      </w:r>
      <w:hyperlink r:id="rId9">
        <w:r>
          <w:rPr>
            <w:rStyle w:val="Hyperlink"/>
            <w:rFonts w:ascii="Times New Roman" w:hAnsi="Times New Roman"/>
            <w:b w:val="false"/>
            <w:i w:val="false"/>
            <w:color w:val="000000"/>
            <w:sz w:val="22"/>
          </w:rPr>
          <w:t>11—Chapter 9</w:t>
        </w:r>
      </w:hyperlink>
      <w:r>
        <w:rPr>
          <w:rFonts w:ascii="Times New Roman" w:hAnsi="Times New Roman"/>
          <w:b w:val="false"/>
          <w:i w:val="false"/>
          <w:color w:val="000000"/>
          <w:sz w:val="22"/>
        </w:rPr>
        <w:t>, Iowa Administrative Code.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3179C</w:t>
      </w:r>
      <w:r>
        <w:rPr>
          <w:rFonts w:ascii="Times New Roman" w:hAnsi="Times New Roman"/>
          <w:b w:val="false"/>
          <w:i w:val="false"/>
          <w:color w:val="000000"/>
          <w:sz w:val="16"/>
        </w:rPr>
        <w:t>, IAB 7/5/17,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3287C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 xml:space="preserve">; </w:t>
      </w:r>
      <w:r>
        <w:rPr>
          <w:rFonts w:ascii="Times New Roman" w:hAnsi="Times New Roman"/>
          <w:b/>
          <w:i w:val="false"/>
          <w:color w:val="000000"/>
          <w:sz w:val="16"/>
        </w:rPr>
        <w:t>ARC 3676C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i w:val="false"/>
          <w:color w:val="000000"/>
          <w:sz w:val="16"/>
        </w:rPr>
        <w:t>ARC 5391C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11—100.2</w:t>
      </w:r>
      <w:r>
        <w:rPr>
          <w:rFonts w:ascii="Times New Roman" w:hAnsi="Times New Roman"/>
          <w:b/>
          <w:i w:val="false"/>
          <w:color w:val="000000"/>
          <w:sz w:val="22"/>
        </w:rPr>
        <w:t xml:space="preserve">(8A) </w:t>
      </w:r>
      <w:r>
        <w:rPr>
          <w:rFonts w:ascii="Times New Roman" w:hAnsi="Times New Roman"/>
          <w:b/>
          <w:i w:val="false"/>
          <w:color w:val="000000"/>
          <w:sz w:val="22"/>
        </w:rPr>
        <w:t xml:space="preserve">Security.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100.2(1)</w:t>
      </w:r>
      <w:r>
        <w:rPr>
          <w:rFonts w:ascii="Times New Roman" w:hAnsi="Times New Roman"/>
          <w:b w:val="false"/>
          <w:i w:val="false"/>
          <w:color w:val="000000"/>
          <w:sz w:val="22"/>
        </w:rPr>
        <w:t> </w:t>
      </w:r>
      <w:r>
        <w:rPr>
          <w:rFonts w:ascii="Times New Roman" w:hAnsi="Times New Roman"/>
          <w:b w:val="false"/>
          <w:i/>
          <w:color w:val="000000"/>
          <w:sz w:val="22"/>
        </w:rPr>
        <w:t xml:space="preserve">Dangerous weapons. </w:t>
      </w:r>
      <w:r>
        <w:rPr>
          <w:rFonts w:ascii="Times New Roman" w:hAnsi="Times New Roman"/>
          <w:b w:val="false"/>
          <w:i w:val="false"/>
          <w:color w:val="000000"/>
          <w:sz w:val="22"/>
        </w:rPr>
        <w:t xml:space="preserve">No member of the public shall carry a dangerous weapon in state buildings on the capitol complex except as otherwise provided in </w:t>
      </w:r>
      <w:hyperlink r:id="rId10">
        <w:r>
          <w:rPr>
            <w:rStyle w:val="Hyperlink"/>
            <w:rFonts w:ascii="Times New Roman" w:hAnsi="Times New Roman"/>
            <w:b w:val="false"/>
            <w:i w:val="false"/>
            <w:color w:val="000000"/>
            <w:sz w:val="22"/>
          </w:rPr>
          <w:t>subrule 100.2(2)</w:t>
        </w:r>
      </w:hyperlink>
      <w:r>
        <w:rPr>
          <w:rFonts w:ascii="Times New Roman" w:hAnsi="Times New Roman"/>
          <w:b w:val="false"/>
          <w:i w:val="false"/>
          <w:color w:val="000000"/>
          <w:sz w:val="22"/>
        </w:rPr>
        <w:t>. This provision applies to any member of the public whether or not the individual possesses a valid Iowa permit to carry weapons. This provision does not apply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peace officer as defined in Iowa Code section </w:t>
      </w:r>
      <w:hyperlink r:id="rId11">
        <w:r>
          <w:rPr>
            <w:rStyle w:val="Hyperlink"/>
            <w:rFonts w:ascii="Times New Roman" w:hAnsi="Times New Roman"/>
            <w:b w:val="false"/>
            <w:i w:val="false"/>
            <w:color w:val="000000"/>
            <w:sz w:val="22"/>
          </w:rPr>
          <w:t>801.4</w:t>
        </w:r>
      </w:hyperlink>
      <w:r>
        <w:rPr>
          <w:rFonts w:ascii="Times New Roman" w:hAnsi="Times New Roman"/>
          <w:b w:val="false"/>
          <w:i w:val="false"/>
          <w:color w:val="000000"/>
          <w:sz w:val="22"/>
        </w:rPr>
        <w:t xml:space="preserve"> or a member of the armed forces of the United States or of the national guard, when the person’s duties or lawful activities require or permit possession of a dangerous weapon.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possessing a valid Iowa professional permit to carry a weapon whose duties require that person to carry a dangerous weapon.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who possesses a dangerous weapon for any purpose authorized by a state agency to further the statutory or regulatory responsibilities of that agency. An authorization issued pursuant to this paragraph shall not become effective until it has been issued in writing to the person or persons to whom it applies and until copies of the authorization have been received by the director and by the commissioner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Members of recognized military veterans organizations performing honor guard service as provided in Iowa Code section </w:t>
      </w:r>
      <w:hyperlink r:id="rId12">
        <w:r>
          <w:rPr>
            <w:rStyle w:val="Hyperlink"/>
            <w:rFonts w:ascii="Times New Roman" w:hAnsi="Times New Roman"/>
            <w:b w:val="false"/>
            <w:i w:val="false"/>
            <w:color w:val="000000"/>
            <w:sz w:val="22"/>
          </w:rPr>
          <w:t>35A.12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Violation of this subrule is a simple misdemeanor, pursuant to Iowa Code section </w:t>
      </w:r>
      <w:hyperlink r:id="rId13">
        <w:r>
          <w:rPr>
            <w:rStyle w:val="Hyperlink"/>
            <w:rFonts w:ascii="Times New Roman" w:hAnsi="Times New Roman"/>
            <w:b w:val="false"/>
            <w:i w:val="false"/>
            <w:color w:val="000000"/>
            <w:sz w:val="22"/>
          </w:rPr>
          <w:t>8A.322</w:t>
        </w:r>
      </w:hyperlink>
      <w:r>
        <w:rPr>
          <w:rFonts w:ascii="Times New Roman" w:hAnsi="Times New Roman"/>
          <w:b w:val="false"/>
          <w:i w:val="false"/>
          <w:color w:val="000000"/>
          <w:sz w:val="22"/>
        </w:rPr>
        <w:t>, and may result in the denial of access to a state building, filing of criminal charges or expulsion from the grounds of the capitol complex, or any combination thereof, of any individual who knowingly violates the subrule. In addition, any weapon found in possession of a member of the public in violation of this subrule may be confiscated. Charges may be filed under any other criminal statute if appropriate. Officers employed by or under the supervision of the department of public safety shall have the authority to enforce this subrule. Peace officers employed by other agencies shall have the authority to enforce this subrule at the request of the commissioner of public safety or in response to a request for assistance from an officer employed by the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100.2(2)</w:t>
      </w:r>
      <w:r>
        <w:rPr>
          <w:rFonts w:ascii="Times New Roman" w:hAnsi="Times New Roman"/>
          <w:b w:val="false"/>
          <w:i w:val="false"/>
          <w:color w:val="000000"/>
          <w:sz w:val="22"/>
        </w:rPr>
        <w:t> </w:t>
      </w:r>
      <w:r>
        <w:rPr>
          <w:rFonts w:ascii="Times New Roman" w:hAnsi="Times New Roman"/>
          <w:b w:val="false"/>
          <w:i/>
          <w:color w:val="000000"/>
          <w:sz w:val="22"/>
        </w:rPr>
        <w:t xml:space="preserve">Pistols and revolvers. </w:t>
      </w:r>
      <w:r>
        <w:rPr>
          <w:rFonts w:ascii="Times New Roman" w:hAnsi="Times New Roman"/>
          <w:b w:val="false"/>
          <w:i w:val="false"/>
          <w:color w:val="000000"/>
          <w:sz w:val="22"/>
        </w:rPr>
        <w:t>No person, other than a peace officer, may openly carry a pistol or revolver in the capitol building and on the grounds surrounding the capitol building including state parking lots and parking garages. This provision does not preclude the lawful carrying, transportation, or possession of a pistol or revolver in the capitol building and on the grounds surrounding the capitol building including the state parking lots and parking garages.</w:t>
      </w:r>
    </w:p>
    <w:p>
      <w:pPr>
        <w:spacing w:before="0" w:after="0"/>
        <w:ind w:left="120"/>
        <w:jc w:val="both"/>
      </w:pPr>
      <w:r>
        <w:rPr>
          <w:rFonts w:ascii="Times New Roman" w:hAnsi="Times New Roman"/>
          <w:b w:val="false"/>
          <w:i w:val="false"/>
          <w:color w:val="000000"/>
          <w:sz w:val="22"/>
        </w:rPr>
        <w:t xml:space="preserve">Violation of this subrule is a simple misdemeanor, pursuant to Iowa Code section </w:t>
      </w:r>
      <w:hyperlink r:id="rId14">
        <w:r>
          <w:rPr>
            <w:rStyle w:val="Hyperlink"/>
            <w:rFonts w:ascii="Times New Roman" w:hAnsi="Times New Roman"/>
            <w:b w:val="false"/>
            <w:i w:val="false"/>
            <w:color w:val="000000"/>
            <w:sz w:val="22"/>
          </w:rPr>
          <w:t>8A.322</w:t>
        </w:r>
      </w:hyperlink>
      <w:r>
        <w:rPr>
          <w:rFonts w:ascii="Times New Roman" w:hAnsi="Times New Roman"/>
          <w:b w:val="false"/>
          <w:i w:val="false"/>
          <w:color w:val="000000"/>
          <w:sz w:val="22"/>
        </w:rPr>
        <w:t>, and may result in the denial of access to a state building, filing of criminal charges or expulsion from the grounds of the capitol complex, or any combination thereof, of any individual who knowingly violates the subrule. In addition, any weapon found in possession of a member of the public in violation of this subrule may be confiscated. Charges may be filed under any other criminal statute if appropriate. Officers employed by or under the supervision of the department of public safety shall have the authority to enforce this subrule. Peace officers employed by other agencies shall have the authority to enforce this subrule at the request of the commissioner of public safety or in response to a request for assistance from an officer employed by the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100.2(3)</w:t>
      </w:r>
      <w:r>
        <w:rPr>
          <w:rFonts w:ascii="Times New Roman" w:hAnsi="Times New Roman"/>
          <w:b w:val="false"/>
          <w:i w:val="false"/>
          <w:color w:val="000000"/>
          <w:sz w:val="22"/>
        </w:rPr>
        <w:t> </w:t>
      </w:r>
      <w:r>
        <w:rPr>
          <w:rFonts w:ascii="Times New Roman" w:hAnsi="Times New Roman"/>
          <w:b w:val="false"/>
          <w:i/>
          <w:color w:val="000000"/>
          <w:sz w:val="22"/>
        </w:rPr>
        <w:t xml:space="preserve">Building access and security. </w:t>
      </w:r>
      <w:r>
        <w:rPr>
          <w:rFonts w:ascii="Times New Roman" w:hAnsi="Times New Roman"/>
          <w:b w:val="false"/>
          <w:i w:val="false"/>
          <w:color w:val="000000"/>
          <w:sz w:val="22"/>
        </w:rPr>
        <w:t>The department of administrative services and the department of public safety shall take reasonable and appropriate measures to ensure the safety of persons and property on the capitol complex. These measures may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Requiring any member of the public entering a state building on the capitol complex to (1) provide identification upon request; (2) allow the member of the public to be scanned with metal detecting equipment; and (3) allow any parcel, package, luggage, purse, or briefcase that the person is bringing into the building to be examined with X-ray equipment or to have the contents thereof examined,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Requiring any member of the public who is inside a state building on the capitol complex outside normal business hours, other than when the building or portion of the building is open to the public during a scheduled event, to provide identification and to state the nature of the person’s business in the building. A member of the public who is in a state building on the capitol complex outside normal business hours, other than during a scheduled event, and who does not have authorization to be on the premises may be required to exit the building and be escorted from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Limiting public access to state buildings on the capitol complex to selected entrances. Access to each building through at least one entrance accessible to persons with disabilities shall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Limiting hours during which public access is allowed to state buildings on the capitol complex. Hours during which public access is allowed shall be posted at each entrance to a building through which public access is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Confiscating any container including, but not limited to, packages, bags, briefcases, or boxes that are left in public areas when the state building is not open to the public. Any confiscated container may be searched or destroyed, or both, or may be returned to the owner. Any container that is left unattended in a public area during hours in which the state building is open to the public may be examined.</w:t>
      </w:r>
    </w:p>
    <w:p>
      <w:pPr>
        <w:spacing w:before="0" w:after="0"/>
        <w:ind w:left="120"/>
        <w:jc w:val="both"/>
      </w:pPr>
      <w:r>
        <w:rPr>
          <w:rFonts w:ascii="Times New Roman" w:hAnsi="Times New Roman"/>
          <w:b w:val="false"/>
          <w:i w:val="false"/>
          <w:color w:val="000000"/>
          <w:sz w:val="22"/>
        </w:rPr>
        <w:t xml:space="preserve">Violation of this subrule is a simple misdemeanor, pursuant to Iowa Code section </w:t>
      </w:r>
      <w:hyperlink r:id="rId15">
        <w:r>
          <w:rPr>
            <w:rStyle w:val="Hyperlink"/>
            <w:rFonts w:ascii="Times New Roman" w:hAnsi="Times New Roman"/>
            <w:b w:val="false"/>
            <w:i w:val="false"/>
            <w:color w:val="000000"/>
            <w:sz w:val="22"/>
          </w:rPr>
          <w:t>8A.322</w:t>
        </w:r>
      </w:hyperlink>
      <w:r>
        <w:rPr>
          <w:rFonts w:ascii="Times New Roman" w:hAnsi="Times New Roman"/>
          <w:b w:val="false"/>
          <w:i w:val="false"/>
          <w:color w:val="000000"/>
          <w:sz w:val="22"/>
        </w:rPr>
        <w:t>, and may result in the denial of access to a state building, filing of criminal charges or expulsion from the grounds of the capitol complex, or any combination thereof, of the individual who knowingly violates the subrule. Charges may be filed under any other criminal statute if appropriate. Officers employed by or under the supervision of the department of public safety shall have the authority to enforce this subrule. Peace officers employed by other agencies shall have the authority to enforce this subrule at the request of the commissioner of public safety or in response to a request for assistance from an officer employed by the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100.2(4)</w:t>
      </w:r>
      <w:r>
        <w:rPr>
          <w:rFonts w:ascii="Times New Roman" w:hAnsi="Times New Roman"/>
          <w:b w:val="false"/>
          <w:i w:val="false"/>
          <w:color w:val="000000"/>
          <w:sz w:val="22"/>
        </w:rPr>
        <w:t> </w:t>
      </w:r>
      <w:r>
        <w:rPr>
          <w:rFonts w:ascii="Times New Roman" w:hAnsi="Times New Roman"/>
          <w:b w:val="false"/>
          <w:i/>
          <w:color w:val="000000"/>
          <w:sz w:val="22"/>
        </w:rPr>
        <w:t xml:space="preserve">Fireworks. </w:t>
      </w:r>
      <w:r>
        <w:rPr>
          <w:rFonts w:ascii="Times New Roman" w:hAnsi="Times New Roman"/>
          <w:b w:val="false"/>
          <w:i w:val="false"/>
          <w:color w:val="000000"/>
          <w:sz w:val="22"/>
        </w:rPr>
        <w:t xml:space="preserve">No person shall use or explode consumer fireworks, display fireworks, or novelties, as those terms are defined in Iowa Code section </w:t>
      </w:r>
      <w:hyperlink r:id="rId16">
        <w:r>
          <w:rPr>
            <w:rStyle w:val="Hyperlink"/>
            <w:rFonts w:ascii="Times New Roman" w:hAnsi="Times New Roman"/>
            <w:b w:val="false"/>
            <w:i w:val="false"/>
            <w:color w:val="000000"/>
            <w:sz w:val="22"/>
          </w:rPr>
          <w:t>727.2</w:t>
        </w:r>
      </w:hyperlink>
      <w:r>
        <w:rPr>
          <w:rFonts w:ascii="Times New Roman" w:hAnsi="Times New Roman"/>
          <w:b w:val="false"/>
          <w:i w:val="false"/>
          <w:color w:val="000000"/>
          <w:sz w:val="22"/>
        </w:rPr>
        <w:t>, on the capitol complex without the director’s advanced written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100.2(5)</w:t>
      </w:r>
      <w:r>
        <w:rPr>
          <w:rFonts w:ascii="Times New Roman" w:hAnsi="Times New Roman"/>
          <w:b w:val="false"/>
          <w:i w:val="false"/>
          <w:color w:val="000000"/>
          <w:sz w:val="22"/>
        </w:rPr>
        <w:t> </w:t>
      </w:r>
      <w:r>
        <w:rPr>
          <w:rFonts w:ascii="Times New Roman" w:hAnsi="Times New Roman"/>
          <w:b w:val="false"/>
          <w:i/>
          <w:color w:val="000000"/>
          <w:sz w:val="22"/>
        </w:rPr>
        <w:t xml:space="preserve">Access barriers. </w:t>
      </w:r>
      <w:r>
        <w:rPr>
          <w:rFonts w:ascii="Times New Roman" w:hAnsi="Times New Roman"/>
          <w:b w:val="false"/>
          <w:i w:val="false"/>
          <w:color w:val="000000"/>
          <w:sz w:val="22"/>
        </w:rPr>
        <w:t>The director may cause the temporary or permanent placement of barricades, ropes, signs, or other barriers to access certain parts of state buildings or grounds. Unauthorized persons beyond the barriers may be removed with the assistance of officers of the department of public safety or charged with a criminal offense if appropriate, or both.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3179C</w:t>
      </w:r>
      <w:r>
        <w:rPr>
          <w:rFonts w:ascii="Times New Roman" w:hAnsi="Times New Roman"/>
          <w:b w:val="false"/>
          <w:i w:val="false"/>
          <w:color w:val="000000"/>
          <w:sz w:val="16"/>
        </w:rPr>
        <w:t>, IAB 7/5/17,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3287C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 xml:space="preserve">; </w:t>
      </w:r>
      <w:r>
        <w:rPr>
          <w:rFonts w:ascii="Times New Roman" w:hAnsi="Times New Roman"/>
          <w:b/>
          <w:i w:val="false"/>
          <w:color w:val="000000"/>
          <w:sz w:val="16"/>
        </w:rPr>
        <w:t>ARC 5993C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11—100.3</w:t>
      </w:r>
      <w:r>
        <w:rPr>
          <w:rFonts w:ascii="Times New Roman" w:hAnsi="Times New Roman"/>
          <w:b/>
          <w:i w:val="false"/>
          <w:color w:val="000000"/>
          <w:sz w:val="22"/>
        </w:rPr>
        <w:t xml:space="preserve">(142D) </w:t>
      </w:r>
      <w:r>
        <w:rPr>
          <w:rFonts w:ascii="Times New Roman" w:hAnsi="Times New Roman"/>
          <w:b/>
          <w:i w:val="false"/>
          <w:color w:val="000000"/>
          <w:sz w:val="22"/>
        </w:rPr>
        <w:t xml:space="preserve">Smoking.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w:t>
      </w:r>
      <w:r>
        <w:rPr>
          <w:rFonts w:ascii="Times New Roman" w:hAnsi="Times New Roman"/>
          <w:b w:val="false"/>
          <w:i w:val="false"/>
          <w:color w:val="000000"/>
          <w:sz w:val="22"/>
        </w:rPr>
        <w:t> </w:t>
      </w:r>
      <w:r>
        <w:rPr>
          <w:rFonts w:ascii="Times New Roman" w:hAnsi="Times New Roman"/>
          <w:b w:val="false"/>
          <w:i w:val="false"/>
          <w:color w:val="000000"/>
          <w:sz w:val="22"/>
        </w:rPr>
        <w:t>Use of tobacco products is prohibited in all space in capitol complex buildings controlled by the executive branch including tunnels and enclosures, unless otherwise designated by appropriate signs. The department shall post signs at the entrances to capitol complex buildings to publicize this rule.</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The secretary of the senate, the clerk of the house and the court administrator are responsible for areas under their control.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100.3(2)</w:t>
      </w:r>
      <w:r>
        <w:rPr>
          <w:rFonts w:ascii="Times New Roman" w:hAnsi="Times New Roman"/>
          <w:b w:val="false"/>
          <w:i w:val="false"/>
          <w:color w:val="000000"/>
          <w:sz w:val="22"/>
        </w:rPr>
        <w:t> </w:t>
      </w:r>
      <w:r>
        <w:rPr>
          <w:rFonts w:ascii="Times New Roman" w:hAnsi="Times New Roman"/>
          <w:b w:val="false"/>
          <w:i w:val="false"/>
          <w:color w:val="000000"/>
          <w:sz w:val="22"/>
        </w:rPr>
        <w:t>Use of tobacco products is prohibited on the grounds of the capitol complex, except as permitted by the director in designated areas or structures designated for smoking. The department shall post signs at designated smoking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100.3(3)</w:t>
      </w:r>
      <w:r>
        <w:rPr>
          <w:rFonts w:ascii="Times New Roman" w:hAnsi="Times New Roman"/>
          <w:b w:val="false"/>
          <w:i w:val="false"/>
          <w:color w:val="000000"/>
          <w:sz w:val="22"/>
        </w:rPr>
        <w:t> </w:t>
      </w:r>
      <w:r>
        <w:rPr>
          <w:rFonts w:ascii="Times New Roman" w:hAnsi="Times New Roman"/>
          <w:b w:val="false"/>
          <w:i w:val="false"/>
          <w:color w:val="000000"/>
          <w:sz w:val="22"/>
        </w:rPr>
        <w:t>This rule shall be enforced by peace officers of the department of public safety. Peace officers other than those employed by the department of public safety may enforce this rule at the request of the commissioner of public safety or at the request of a peace officer employed by the department of public safety.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8A.322</w:t>
        </w:r>
      </w:hyperlink>
      <w:r>
        <w:rPr>
          <w:rFonts w:ascii="Times New Roman" w:hAnsi="Times New Roman"/>
          <w:b w:val="false"/>
          <w:i w:val="false"/>
          <w:color w:val="000000"/>
          <w:sz w:val="22"/>
        </w:rPr>
        <w:t xml:space="preserve"> and chapter </w:t>
      </w:r>
      <w:hyperlink r:id="rId18">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 xml:space="preserve"> and </w:t>
      </w:r>
    </w:p>
    <w:p>
      <w:pPr>
        <w:spacing w:before="0" w:after="0"/>
        <w:ind w:left="120"/>
        <w:jc w:val="both"/>
      </w:pPr>
      <w:r>
        <w:rPr>
          <w:rFonts w:ascii="Times New Roman" w:hAnsi="Times New Roman"/>
          <w:b w:val="false"/>
          <w:i w:val="false"/>
          <w:color w:val="000000"/>
          <w:sz w:val="22"/>
        </w:rPr>
        <w:t>Executive Order Number 68</w:t>
      </w:r>
    </w:p>
    <w:p>
      <w:pPr>
        <w:spacing w:before="0" w:after="0"/>
        <w:ind w:left="120"/>
        <w:jc w:val="both"/>
      </w:pPr>
      <w:r>
        <w:rPr>
          <w:rFonts w:ascii="Times New Roman" w:hAnsi="Times New Roman"/>
          <w:b w:val="false"/>
          <w:i w:val="false"/>
          <w:color w:val="000000"/>
          <w:sz w:val="22"/>
        </w:rPr>
        <w:t xml:space="preserve"> signed November 23, 1998, by Governor Terry Branstad.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4181C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11—100.4</w:t>
      </w:r>
      <w:r>
        <w:rPr>
          <w:rFonts w:ascii="Times New Roman" w:hAnsi="Times New Roman"/>
          <w:b/>
          <w:i w:val="false"/>
          <w:color w:val="000000"/>
          <w:sz w:val="22"/>
        </w:rPr>
        <w:t xml:space="preserve">(8A) </w:t>
      </w:r>
      <w:r>
        <w:rPr>
          <w:rFonts w:ascii="Times New Roman" w:hAnsi="Times New Roman"/>
          <w:b/>
          <w:i w:val="false"/>
          <w:color w:val="000000"/>
          <w:sz w:val="22"/>
        </w:rPr>
        <w:t xml:space="preserve">Use and scheduling of capitol complex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100.4(1)</w:t>
      </w:r>
      <w:r>
        <w:rPr>
          <w:rFonts w:ascii="Times New Roman" w:hAnsi="Times New Roman"/>
          <w:b w:val="false"/>
          <w:i w:val="false"/>
          <w:color w:val="000000"/>
          <w:sz w:val="22"/>
        </w:rPr>
        <w:t> </w:t>
      </w:r>
      <w:r>
        <w:rPr>
          <w:rFonts w:ascii="Times New Roman" w:hAnsi="Times New Roman"/>
          <w:b w:val="false"/>
          <w:i/>
          <w:color w:val="000000"/>
          <w:sz w:val="22"/>
        </w:rPr>
        <w:t xml:space="preserve">Scheduling conference rooms. </w:t>
      </w:r>
      <w:r>
        <w:rPr>
          <w:rFonts w:ascii="Times New Roman" w:hAnsi="Times New Roman"/>
          <w:b w:val="false"/>
          <w:i w:val="false"/>
          <w:color w:val="000000"/>
          <w:sz w:val="22"/>
        </w:rPr>
        <w:t xml:space="preserve">Conference rooms, auditoriums and common areas within the capitol complex are for use by state agencies, boards and commissions for authorized purposes only. Arrangements may be made by contacting the agency responsible for scheduling the facility. The department of administrative services is responsible for scheduling all common areas not under control of other agencies. Questions about usage shall be resolved by the director of the responsible agency.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100.4(2)</w:t>
      </w:r>
      <w:r>
        <w:rPr>
          <w:rFonts w:ascii="Times New Roman" w:hAnsi="Times New Roman"/>
          <w:b w:val="false"/>
          <w:i w:val="false"/>
          <w:color w:val="000000"/>
          <w:sz w:val="22"/>
        </w:rPr>
        <w:t> </w:t>
      </w:r>
      <w:r>
        <w:rPr>
          <w:rFonts w:ascii="Times New Roman" w:hAnsi="Times New Roman"/>
          <w:b w:val="false"/>
          <w:i/>
          <w:color w:val="000000"/>
          <w:sz w:val="22"/>
        </w:rPr>
        <w:t xml:space="preserve">Legislative and judicial building contacts. </w:t>
      </w:r>
      <w:r>
        <w:rPr>
          <w:rFonts w:ascii="Times New Roman" w:hAnsi="Times New Roman"/>
          <w:b w:val="false"/>
          <w:i w:val="false"/>
          <w:color w:val="000000"/>
          <w:sz w:val="22"/>
        </w:rPr>
        <w:t>The secretary of the senate, the clerk of the house and the court administrator are responsible for areas under their control. Common areas in and around the Capitol Building are under the control of the department of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100.4(3)</w:t>
      </w:r>
      <w:r>
        <w:rPr>
          <w:rFonts w:ascii="Times New Roman" w:hAnsi="Times New Roman"/>
          <w:b w:val="false"/>
          <w:i w:val="false"/>
          <w:color w:val="000000"/>
          <w:sz w:val="22"/>
        </w:rPr>
        <w:t> </w:t>
      </w:r>
      <w:r>
        <w:rPr>
          <w:rFonts w:ascii="Times New Roman" w:hAnsi="Times New Roman"/>
          <w:b w:val="false"/>
          <w:i/>
          <w:color w:val="000000"/>
          <w:sz w:val="22"/>
        </w:rPr>
        <w:t xml:space="preserve">Iowa Historical Building events. </w:t>
      </w:r>
      <w:r>
        <w:rPr>
          <w:rFonts w:ascii="Times New Roman" w:hAnsi="Times New Roman"/>
          <w:b w:val="false"/>
          <w:i w:val="false"/>
          <w:color w:val="000000"/>
          <w:sz w:val="22"/>
        </w:rPr>
        <w:t>Scheduling of events by the public as well as by state agencies, boards and commissions to be held in the Iowa Historical Building will be coordinated by the department of cultural affairs. Groups or individuals wishing to use the Iowa Historical Building for an event should contact the Facilities Coordinator, State Historical Society of Iowa, Iowa Historical Building, 600 East Locust Street,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100.4(4)</w:t>
      </w:r>
      <w:r>
        <w:rPr>
          <w:rFonts w:ascii="Times New Roman" w:hAnsi="Times New Roman"/>
          <w:b w:val="false"/>
          <w:i w:val="false"/>
          <w:color w:val="000000"/>
          <w:sz w:val="22"/>
        </w:rPr>
        <w:t> </w:t>
      </w:r>
      <w:r>
        <w:rPr>
          <w:rFonts w:ascii="Times New Roman" w:hAnsi="Times New Roman"/>
          <w:b w:val="false"/>
          <w:i/>
          <w:color w:val="000000"/>
          <w:sz w:val="22"/>
        </w:rPr>
        <w:t xml:space="preserve">Event request. </w:t>
      </w:r>
      <w:r>
        <w:rPr>
          <w:rFonts w:ascii="Times New Roman" w:hAnsi="Times New Roman"/>
          <w:b w:val="false"/>
          <w:i w:val="false"/>
          <w:color w:val="000000"/>
          <w:sz w:val="22"/>
        </w:rPr>
        <w:t>State agencies or the general public may request use of capitol complex facilities, grounds or parking lots for public events by completing an application on the department website (</w:t>
      </w:r>
      <w:hyperlink r:id="rId19">
        <w:r>
          <w:rPr>
            <w:rStyle w:val="Hyperlink"/>
            <w:rFonts w:ascii="Times New Roman" w:hAnsi="Times New Roman"/>
            <w:b w:val="false"/>
            <w:i w:val="false"/>
            <w:color w:val="000000"/>
            <w:sz w:val="22"/>
            <w:u w:val="single"/>
          </w:rPr>
          <w:t>das.iowa.gov</w:t>
        </w:r>
      </w:hyperlink>
      <w:r>
        <w:rPr>
          <w:rFonts w:ascii="Times New Roman" w:hAnsi="Times New Roman"/>
          <w:b w:val="false"/>
          <w:i w:val="false"/>
          <w:color w:val="000000"/>
          <w:sz w:val="22"/>
        </w:rPr>
        <w:t>). This shall not be interpreted as an infringement on the right of assembly and petition guaranteed by Section 20, Article I, Constitution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director shall notify the applicant of approval or denial to use the requested areas. Notification of approval may take the form of a letter to the event sponsor(s) or a memorandum of understanding (MOU) signed by the director and the event sponsor(s). The MOU specifies the conditions under which the event will take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director may allow events if appropriate security and supervision are provided and the director determines that granting the approval is consistent with the underlying purpose of these rules and that the public interest so demands.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Approval for the event may contain such terms and conditions as are consistent with the protection, health and safety of occupants of the buildings and visitors to the capitol complex as well as preservation of the buildings, facilities, and grounds. The approval may also contain limitations on equipment used and its location, and the time and area within which the event is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100.4(5)</w:t>
      </w:r>
      <w:r>
        <w:rPr>
          <w:rFonts w:ascii="Times New Roman" w:hAnsi="Times New Roman"/>
          <w:b w:val="false"/>
          <w:i w:val="false"/>
          <w:color w:val="000000"/>
          <w:sz w:val="22"/>
        </w:rPr>
        <w:t> </w:t>
      </w:r>
      <w:r>
        <w:rPr>
          <w:rFonts w:ascii="Times New Roman" w:hAnsi="Times New Roman"/>
          <w:b w:val="false"/>
          <w:i/>
          <w:color w:val="000000"/>
          <w:sz w:val="22"/>
        </w:rPr>
        <w:t xml:space="preserve">Refusal of usage. </w:t>
      </w:r>
      <w:r>
        <w:rPr>
          <w:rFonts w:ascii="Times New Roman" w:hAnsi="Times New Roman"/>
          <w:b w:val="false"/>
          <w:i w:val="false"/>
          <w:color w:val="000000"/>
          <w:sz w:val="22"/>
        </w:rPr>
        <w:t xml:space="preserve">The director may refuse to allow use of the facilities that, in the director’s judgment, would be disruptive of official state business or of the public health, safety and welfare, or is inconsistent with subrule </w:t>
      </w:r>
      <w:hyperlink r:id="rId20">
        <w:r>
          <w:rPr>
            <w:rStyle w:val="Hyperlink"/>
            <w:rFonts w:ascii="Times New Roman" w:hAnsi="Times New Roman"/>
            <w:b w:val="false"/>
            <w:i w:val="false"/>
            <w:color w:val="000000"/>
            <w:sz w:val="22"/>
          </w:rPr>
          <w:t>100.4(4)</w:t>
        </w:r>
      </w:hyperlink>
      <w:r>
        <w:rPr>
          <w:rFonts w:ascii="Times New Roman" w:hAnsi="Times New Roman"/>
          <w:b w:val="false"/>
          <w:i w:val="false"/>
          <w:color w:val="000000"/>
          <w:sz w:val="22"/>
        </w:rPr>
        <w:t>. The director may consider such factors as recommendations of the department of public safety, previous experience with the requesting group or other events similar to that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100.4(6)</w:t>
      </w:r>
      <w:r>
        <w:rPr>
          <w:rFonts w:ascii="Times New Roman" w:hAnsi="Times New Roman"/>
          <w:b w:val="false"/>
          <w:i w:val="false"/>
          <w:color w:val="000000"/>
          <w:sz w:val="22"/>
        </w:rPr>
        <w:t> </w:t>
      </w:r>
      <w:r>
        <w:rPr>
          <w:rFonts w:ascii="Times New Roman" w:hAnsi="Times New Roman"/>
          <w:b w:val="false"/>
          <w:i/>
          <w:color w:val="000000"/>
          <w:sz w:val="22"/>
        </w:rPr>
        <w:t xml:space="preserve">Liability. </w:t>
      </w:r>
      <w:r>
        <w:rPr>
          <w:rFonts w:ascii="Times New Roman" w:hAnsi="Times New Roman"/>
          <w:b w:val="false"/>
          <w:i w:val="false"/>
          <w:color w:val="000000"/>
          <w:sz w:val="22"/>
        </w:rPr>
        <w:t>Any state agency or public group granted permission to use the capitol complex facilities shall be responsible for any damage occurring during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granting approval, the director may require the requesting group to acquire liability insurance in which the “State of Iowa” is named as an additional insured to protect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 a condition of granting approval of a request for an event at the capitol complex, the director may also require that a damage deposit or bond be posted by the group making the request. The director may require the filing of a bond payable to the director in an amount adequate to cover costs such as restoration, rehabilitation and cleanup of the area used, damages and other costs resulting from this event. In lieu of a bond, an event requester may elect to deposit cash equal to the amount of the required bond.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100.4(7)</w:t>
      </w:r>
      <w:r>
        <w:rPr>
          <w:rFonts w:ascii="Times New Roman" w:hAnsi="Times New Roman"/>
          <w:b w:val="false"/>
          <w:i w:val="false"/>
          <w:color w:val="000000"/>
          <w:sz w:val="22"/>
        </w:rPr>
        <w:t> </w:t>
      </w:r>
      <w:r>
        <w:rPr>
          <w:rFonts w:ascii="Times New Roman" w:hAnsi="Times New Roman"/>
          <w:b w:val="false"/>
          <w:i/>
          <w:color w:val="000000"/>
          <w:sz w:val="22"/>
        </w:rPr>
        <w:t xml:space="preserve">Event cleanup. </w:t>
      </w:r>
      <w:r>
        <w:rPr>
          <w:rFonts w:ascii="Times New Roman" w:hAnsi="Times New Roman"/>
          <w:b w:val="false"/>
          <w:i w:val="false"/>
          <w:color w:val="000000"/>
          <w:sz w:val="22"/>
        </w:rPr>
        <w:t>Any state agency or public group granted permission to use the capitol complex facilities shall be responsible for a thorough cleanup after the event is concluded. All debris and animal waste shall be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10"/>
        </w:rPr>
        <w:t>1</w:t>
      </w:r>
      <w:r>
        <w:rPr>
          <w:rFonts w:ascii="Times New Roman" w:hAnsi="Times New Roman"/>
          <w:b/>
          <w:i w:val="false"/>
          <w:color w:val="000000"/>
          <w:sz w:val="22"/>
        </w:rPr>
        <w:t>100.4(8)</w:t>
      </w:r>
      <w:r>
        <w:rPr>
          <w:rFonts w:ascii="Times New Roman" w:hAnsi="Times New Roman"/>
          <w:b w:val="false"/>
          <w:i w:val="false"/>
          <w:color w:val="000000"/>
          <w:sz w:val="22"/>
        </w:rPr>
        <w:t> </w:t>
      </w:r>
      <w:r>
        <w:rPr>
          <w:rFonts w:ascii="Times New Roman" w:hAnsi="Times New Roman"/>
          <w:b w:val="false"/>
          <w:i/>
          <w:color w:val="000000"/>
          <w:sz w:val="22"/>
        </w:rPr>
        <w:t xml:space="preserve">Alcoholic beverages at events. </w:t>
      </w:r>
      <w:r>
        <w:rPr>
          <w:rFonts w:ascii="Times New Roman" w:hAnsi="Times New Roman"/>
          <w:b w:val="false"/>
          <w:i w:val="false"/>
          <w:color w:val="000000"/>
          <w:sz w:val="22"/>
        </w:rPr>
        <w:t xml:space="preserve">Consumption of alcoholic beverages, as defined in Iowa Code chapter </w:t>
      </w:r>
      <w:hyperlink r:id="rId21">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is not permitted on the capitol complex except for special events in the Iowa Historical Building, 600 East Locust Street, with the prior written approval of the director and the director of the department of cultural affairs.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100.4(9)</w:t>
      </w:r>
      <w:r>
        <w:rPr>
          <w:rFonts w:ascii="Times New Roman" w:hAnsi="Times New Roman"/>
          <w:b w:val="false"/>
          <w:i w:val="false"/>
          <w:color w:val="000000"/>
          <w:sz w:val="22"/>
        </w:rPr>
        <w:t> </w:t>
      </w:r>
      <w:r>
        <w:rPr>
          <w:rFonts w:ascii="Times New Roman" w:hAnsi="Times New Roman"/>
          <w:b w:val="false"/>
          <w:i/>
          <w:color w:val="000000"/>
          <w:sz w:val="22"/>
        </w:rPr>
        <w:t xml:space="preserve">Distribution of literature. </w:t>
      </w:r>
      <w:r>
        <w:rPr>
          <w:rFonts w:ascii="Times New Roman" w:hAnsi="Times New Roman"/>
          <w:b w:val="false"/>
          <w:i w:val="false"/>
          <w:color w:val="000000"/>
          <w:sz w:val="22"/>
        </w:rPr>
        <w:t>Permission to distribute literature on the capitol complex grounds or in state-owned or occupied areas of leased buildings in metropolitan Des Moines must be obtained from the director. The director may designate specific locations from which literature may be distributed in order to ensure control of litter, unobstructed access to public buildings and the conduct of public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100.4(10)</w:t>
      </w:r>
      <w:r>
        <w:rPr>
          <w:rFonts w:ascii="Times New Roman" w:hAnsi="Times New Roman"/>
          <w:b w:val="false"/>
          <w:i w:val="false"/>
          <w:color w:val="000000"/>
          <w:sz w:val="22"/>
        </w:rPr>
        <w:t> </w:t>
      </w:r>
      <w:r>
        <w:rPr>
          <w:rFonts w:ascii="Times New Roman" w:hAnsi="Times New Roman"/>
          <w:b w:val="false"/>
          <w:i/>
          <w:color w:val="000000"/>
          <w:sz w:val="22"/>
        </w:rPr>
        <w:t xml:space="preserve">Private parties. </w:t>
      </w:r>
      <w:r>
        <w:rPr>
          <w:rFonts w:ascii="Times New Roman" w:hAnsi="Times New Roman"/>
          <w:b w:val="false"/>
          <w:i w:val="false"/>
          <w:color w:val="000000"/>
          <w:sz w:val="22"/>
        </w:rPr>
        <w:t>No state-owned facilities, equipment or state personnel shall be used for such events as private parties, weddings, demonstrations, and rallies without the prior written consent of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100.4(11)</w:t>
      </w:r>
      <w:r>
        <w:rPr>
          <w:rFonts w:ascii="Times New Roman" w:hAnsi="Times New Roman"/>
          <w:b w:val="false"/>
          <w:i w:val="false"/>
          <w:color w:val="000000"/>
          <w:sz w:val="22"/>
        </w:rPr>
        <w:t> </w:t>
      </w:r>
      <w:r>
        <w:rPr>
          <w:rFonts w:ascii="Times New Roman" w:hAnsi="Times New Roman"/>
          <w:b w:val="false"/>
          <w:i/>
          <w:color w:val="000000"/>
          <w:sz w:val="22"/>
        </w:rPr>
        <w:t xml:space="preserve">Access hours. </w:t>
      </w:r>
      <w:r>
        <w:rPr>
          <w:rFonts w:ascii="Times New Roman" w:hAnsi="Times New Roman"/>
          <w:b w:val="false"/>
          <w:i w:val="false"/>
          <w:color w:val="000000"/>
          <w:sz w:val="22"/>
        </w:rPr>
        <w:t>Public use of state buildings is restricted to normal office hours. Hours during which public access is allowed shall be posted at each entrance to a building through which public access is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100.4(12)</w:t>
      </w:r>
      <w:r>
        <w:rPr>
          <w:rFonts w:ascii="Times New Roman" w:hAnsi="Times New Roman"/>
          <w:b w:val="false"/>
          <w:i w:val="false"/>
          <w:color w:val="000000"/>
          <w:sz w:val="22"/>
        </w:rPr>
        <w:t> </w:t>
      </w:r>
      <w:r>
        <w:rPr>
          <w:rFonts w:ascii="Times New Roman" w:hAnsi="Times New Roman"/>
          <w:b w:val="false"/>
          <w:i/>
          <w:color w:val="000000"/>
          <w:sz w:val="22"/>
        </w:rPr>
        <w:t xml:space="preserve">After-hours use. </w:t>
      </w:r>
      <w:r>
        <w:rPr>
          <w:rFonts w:ascii="Times New Roman" w:hAnsi="Times New Roman"/>
          <w:b w:val="false"/>
          <w:i w:val="false"/>
          <w:color w:val="000000"/>
          <w:sz w:val="22"/>
        </w:rPr>
        <w:t>After-hours use of capitol complex buildings is restricted to use by state agencies and must directly relate to the mission of the state agency sponsoring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all buildings except the Capitol Building and the Iowa Historical Building, normal office hours are 7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5 p.m., Monday through Friday. Buildings are closed to the public on weekends and state-designated holidays.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the Capitol Building, normal office hours are 7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5 p.m., Monday through Friday, and 9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Saturday. If the legislature is in session after normal office hours, the ground floor south door closing hour is extended until the session’s end. Inquiries regarding the hours the building is open may be directed to the information desk.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the Iowa Historical Building, normal office hours are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every day, excluding weekends and holidays. The Iowa Historical Museum and the State Historical Library, located within the Iowa Historical Building, have different hours. Hours of public access shall be posted at public entrances. Inquiries regarding the hours the building is open may be directed to the information desk.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Hours listed above are subject to change. Changes in hours shall be posted on the main entrance doors to each affected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100.4(13)</w:t>
      </w:r>
      <w:r>
        <w:rPr>
          <w:rFonts w:ascii="Times New Roman" w:hAnsi="Times New Roman"/>
          <w:b w:val="false"/>
          <w:i w:val="false"/>
          <w:color w:val="000000"/>
          <w:sz w:val="22"/>
        </w:rPr>
        <w:t> </w:t>
      </w:r>
      <w:r>
        <w:rPr>
          <w:rFonts w:ascii="Times New Roman" w:hAnsi="Times New Roman"/>
          <w:b w:val="false"/>
          <w:i/>
          <w:color w:val="000000"/>
          <w:sz w:val="22"/>
        </w:rPr>
        <w:t xml:space="preserve">Capitol grounds hours. </w:t>
      </w:r>
      <w:r>
        <w:rPr>
          <w:rFonts w:ascii="Times New Roman" w:hAnsi="Times New Roman"/>
          <w:b w:val="false"/>
          <w:i w:val="false"/>
          <w:color w:val="000000"/>
          <w:sz w:val="22"/>
        </w:rPr>
        <w:t>Public use of the capitol complex grounds is restricted to the hours of 6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11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daily. Public access hours are subject to change. Changes in hours shall be posted prominently on the capitol complex.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8A.322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 xml:space="preserve">; </w:t>
      </w:r>
      <w:r>
        <w:rPr>
          <w:rFonts w:ascii="Times New Roman" w:hAnsi="Times New Roman"/>
          <w:b/>
          <w:i w:val="false"/>
          <w:color w:val="000000"/>
          <w:sz w:val="16"/>
        </w:rPr>
        <w:t>ARC 4181C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pBdr>
          <w:left w:space="1"/>
        </w:pBdr>
        <w:spacing w:before="0" w:after="0"/>
        <w:ind w:left="456"/>
        <w:jc w:val="both"/>
      </w:pPr>
      <w:r>
        <w:rPr>
          <w:rFonts w:ascii="Times New Roman" w:hAnsi="Times New Roman"/>
          <w:b w:val="false"/>
          <w:i w:val="false"/>
          <w:color w:val="000000"/>
          <w:sz w:val="10"/>
        </w:rPr>
        <w:t>1</w:t>
      </w:r>
      <w:r>
        <w:rPr>
          <w:rFonts w:ascii="Times New Roman" w:hAnsi="Times New Roman"/>
          <w:b w:val="false"/>
          <w:i w:val="false"/>
          <w:color w:val="000000"/>
          <w:sz w:val="16"/>
        </w:rPr>
        <w:t xml:space="preserve">See </w:t>
      </w:r>
      <w:r>
        <w:rPr>
          <w:rFonts w:ascii="Times New Roman" w:hAnsi="Times New Roman"/>
          <w:b w:val="false"/>
          <w:i w:val="false"/>
          <w:color w:val="000000"/>
          <w:sz w:val="16"/>
        </w:rPr>
        <w:t>2004 Iowa Acts, HJR 2005</w:t>
      </w:r>
      <w:r>
        <w:rPr>
          <w:rFonts w:ascii="Times New Roman" w:hAnsi="Times New Roman"/>
          <w:b w:val="false"/>
          <w:i w:val="false"/>
          <w:color w:val="000000"/>
          <w:sz w:val="16"/>
        </w:rPr>
        <w:t xml:space="preserve"> and </w:t>
      </w:r>
      <w:r>
        <w:rPr>
          <w:rFonts w:ascii="Times New Roman" w:hAnsi="Times New Roman"/>
          <w:b w:val="false"/>
          <w:i w:val="false"/>
          <w:color w:val="000000"/>
          <w:sz w:val="16"/>
        </w:rPr>
        <w:t>SJR 2007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11—100.5</w:t>
      </w:r>
      <w:r>
        <w:rPr>
          <w:rFonts w:ascii="Times New Roman" w:hAnsi="Times New Roman"/>
          <w:b/>
          <w:i w:val="false"/>
          <w:color w:val="000000"/>
          <w:sz w:val="22"/>
        </w:rPr>
        <w:t xml:space="preserve">(8A) </w:t>
      </w:r>
      <w:r>
        <w:rPr>
          <w:rFonts w:ascii="Times New Roman" w:hAnsi="Times New Roman"/>
          <w:b/>
          <w:i w:val="false"/>
          <w:color w:val="000000"/>
          <w:sz w:val="22"/>
        </w:rPr>
        <w:t xml:space="preserve">Solicitation.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100.5(1)</w:t>
      </w:r>
      <w:r>
        <w:rPr>
          <w:rFonts w:ascii="Times New Roman" w:hAnsi="Times New Roman"/>
          <w:b w:val="false"/>
          <w:i w:val="false"/>
          <w:color w:val="000000"/>
          <w:sz w:val="22"/>
        </w:rPr>
        <w:t> </w:t>
      </w:r>
      <w:r>
        <w:rPr>
          <w:rFonts w:ascii="Times New Roman" w:hAnsi="Times New Roman"/>
          <w:b w:val="false"/>
          <w:i w:val="false"/>
          <w:color w:val="000000"/>
          <w:sz w:val="22"/>
        </w:rPr>
        <w:t xml:space="preserve">Canteens, cafeterias and vending machines under the control of the department for the blind, gift shops under the control of the department of cultural affairs and concessions authorized by the director pursuant to subrule </w:t>
      </w:r>
      <w:hyperlink r:id="rId23">
        <w:r>
          <w:rPr>
            <w:rStyle w:val="Hyperlink"/>
            <w:rFonts w:ascii="Times New Roman" w:hAnsi="Times New Roman"/>
            <w:b w:val="false"/>
            <w:i w:val="false"/>
            <w:color w:val="000000"/>
            <w:sz w:val="22"/>
          </w:rPr>
          <w:t>100.4(4)</w:t>
        </w:r>
      </w:hyperlink>
      <w:r>
        <w:rPr>
          <w:rFonts w:ascii="Times New Roman" w:hAnsi="Times New Roman"/>
          <w:b w:val="false"/>
          <w:i w:val="false"/>
          <w:color w:val="000000"/>
          <w:sz w:val="22"/>
        </w:rPr>
        <w:t xml:space="preserve"> are authorized methods of direct sales to employees and visitors in state-owned and occupied buildings in metropolitan Des Moines.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100.5(2)</w:t>
      </w:r>
      <w:r>
        <w:rPr>
          <w:rFonts w:ascii="Times New Roman" w:hAnsi="Times New Roman"/>
          <w:b w:val="false"/>
          <w:i w:val="false"/>
          <w:color w:val="000000"/>
          <w:sz w:val="22"/>
        </w:rPr>
        <w:t> </w:t>
      </w:r>
      <w:r>
        <w:rPr>
          <w:rFonts w:ascii="Times New Roman" w:hAnsi="Times New Roman"/>
          <w:b w:val="false"/>
          <w:i w:val="false"/>
          <w:color w:val="000000"/>
          <w:sz w:val="22"/>
        </w:rPr>
        <w:t xml:space="preserve">Functions involving sales to state employees or to the public in the capitol complex or in state-owned and occupied buildings in metropolitan Des Moines must receive prior approval through the event request process in subrule </w:t>
      </w:r>
      <w:hyperlink r:id="rId24">
        <w:r>
          <w:rPr>
            <w:rStyle w:val="Hyperlink"/>
            <w:rFonts w:ascii="Times New Roman" w:hAnsi="Times New Roman"/>
            <w:b w:val="false"/>
            <w:i w:val="false"/>
            <w:color w:val="000000"/>
            <w:sz w:val="22"/>
          </w:rPr>
          <w:t>100.4(4)</w:t>
        </w:r>
      </w:hyperlink>
      <w:r>
        <w:rPr>
          <w:rFonts w:ascii="Times New Roman" w:hAnsi="Times New Roman"/>
          <w:b w:val="false"/>
          <w:i w:val="false"/>
          <w:color w:val="000000"/>
          <w:sz w:val="22"/>
        </w:rPr>
        <w:t xml:space="preserve">. Sales by state employees are governed by Iowa Code chapter </w:t>
      </w:r>
      <w:hyperlink r:id="rId25">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100.5(3)</w:t>
      </w:r>
      <w:r>
        <w:rPr>
          <w:rFonts w:ascii="Times New Roman" w:hAnsi="Times New Roman"/>
          <w:b w:val="false"/>
          <w:i w:val="false"/>
          <w:color w:val="000000"/>
          <w:sz w:val="22"/>
        </w:rPr>
        <w:t> </w:t>
      </w:r>
      <w:r>
        <w:rPr>
          <w:rFonts w:ascii="Times New Roman" w:hAnsi="Times New Roman"/>
          <w:b w:val="false"/>
          <w:i w:val="false"/>
          <w:color w:val="000000"/>
          <w:sz w:val="22"/>
        </w:rPr>
        <w:t>Event sponsors are responsible for contracting with vendors for sales during the event. The MOU may contain terms and conditions for vendors and shall specify the responsibility of the event sponsor to ensure that all approved vendors comply with all applicable city, state and federal laws, ordinances, rules and regulations. Vendors must have all required city, state and federal permits and licenses.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100.5(4)</w:t>
      </w:r>
      <w:r>
        <w:rPr>
          <w:rFonts w:ascii="Times New Roman" w:hAnsi="Times New Roman"/>
          <w:b w:val="false"/>
          <w:i w:val="false"/>
          <w:color w:val="000000"/>
          <w:sz w:val="22"/>
        </w:rPr>
        <w:t> </w:t>
      </w:r>
      <w:r>
        <w:rPr>
          <w:rFonts w:ascii="Times New Roman" w:hAnsi="Times New Roman"/>
          <w:b w:val="false"/>
          <w:i w:val="false"/>
          <w:color w:val="000000"/>
          <w:sz w:val="22"/>
        </w:rPr>
        <w:t>For the convenience of employees and visitors, the director may enter into agreements with private vendors for providing services and products within state buildings under the jurisdiction of the department. Provision of services and products shall not interfere with the business of government or negatively affect building aesthetics. The director shall solicit competitive proposals when it is probable that more than one vendor may desire to offer a similar service or product. Agreement terms and conditions shall protect the state’s interest regarding liability, reasonable compensation to the state, performance and appearance standards, and other relevant concerns.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100.5(5)</w:t>
      </w:r>
      <w:r>
        <w:rPr>
          <w:rFonts w:ascii="Times New Roman" w:hAnsi="Times New Roman"/>
          <w:b w:val="false"/>
          <w:i w:val="false"/>
          <w:color w:val="000000"/>
          <w:sz w:val="22"/>
        </w:rPr>
        <w:t> </w:t>
      </w:r>
      <w:r>
        <w:rPr>
          <w:rFonts w:ascii="Times New Roman" w:hAnsi="Times New Roman"/>
          <w:b w:val="false"/>
          <w:i w:val="false"/>
          <w:color w:val="000000"/>
          <w:sz w:val="22"/>
        </w:rPr>
        <w:t>The director reserves the right to deny or remove any vendor who does not comply with these rules and applicable laws and regulations.</w:t>
      </w:r>
    </w:p>
    <w:p>
      <w:pPr>
        <w:spacing w:before="0" w:after="0"/>
        <w:ind w:left="120"/>
        <w:jc w:val="both"/>
      </w:pPr>
      <w:r>
        <w:rPr>
          <w:rFonts w:ascii="Times New Roman" w:hAnsi="Times New Roman"/>
          <w:b w:val="false"/>
          <w:i w:val="false"/>
          <w:color w:val="000000"/>
          <w:sz w:val="22"/>
        </w:rPr>
        <w:t>This rule is intended to implement Iowa Code sections </w:t>
      </w:r>
      <w:hyperlink r:id="rId26">
        <w:r>
          <w:rPr>
            <w:rStyle w:val="Hyperlink"/>
            <w:rFonts w:ascii="Times New Roman" w:hAnsi="Times New Roman"/>
            <w:b w:val="false"/>
            <w:i w:val="false"/>
            <w:color w:val="000000"/>
            <w:sz w:val="22"/>
          </w:rPr>
          <w:t>8A.322</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303.9</w:t>
        </w:r>
      </w:hyperlink>
      <w:r>
        <w:rPr>
          <w:rFonts w:ascii="Times New Roman" w:hAnsi="Times New Roman"/>
          <w:b w:val="false"/>
          <w:i w:val="false"/>
          <w:color w:val="000000"/>
          <w:sz w:val="22"/>
        </w:rPr>
        <w:t xml:space="preserve"> and chapter </w:t>
      </w:r>
      <w:hyperlink r:id="rId28">
        <w:r>
          <w:rPr>
            <w:rStyle w:val="Hyperlink"/>
            <w:rFonts w:ascii="Times New Roman" w:hAnsi="Times New Roman"/>
            <w:b w:val="false"/>
            <w:i w:val="false"/>
            <w:color w:val="000000"/>
            <w:sz w:val="22"/>
          </w:rPr>
          <w:t>216D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11—100.6</w:t>
      </w:r>
      <w:r>
        <w:rPr>
          <w:rFonts w:ascii="Times New Roman" w:hAnsi="Times New Roman"/>
          <w:b/>
          <w:i w:val="false"/>
          <w:color w:val="000000"/>
          <w:sz w:val="22"/>
        </w:rPr>
        <w:t xml:space="preserve">(8A) </w:t>
      </w:r>
      <w:r>
        <w:rPr>
          <w:rFonts w:ascii="Times New Roman" w:hAnsi="Times New Roman"/>
          <w:b/>
          <w:i w:val="false"/>
          <w:color w:val="000000"/>
          <w:sz w:val="22"/>
        </w:rPr>
        <w:t xml:space="preserve">Office space management.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100.6(1)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this rule is to standardize office space management at the seat of government in order to effectively plan and utilize office space and to promote connectivity and reuse of modular office systems. The rules outline the responsibilities of state agencies relative to use of office space assigned to them by the department of administrative services and the responsibilities of the department to manage and coordinate changes to an agency’s use of its assigned space.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100.6(2)</w:t>
      </w:r>
      <w:r>
        <w:rPr>
          <w:rFonts w:ascii="Times New Roman" w:hAnsi="Times New Roman"/>
          <w:b w:val="false"/>
          <w:i w:val="false"/>
          <w:color w:val="000000"/>
          <w:sz w:val="22"/>
        </w:rPr>
        <w:t> </w:t>
      </w:r>
      <w:r>
        <w:rPr>
          <w:rFonts w:ascii="Times New Roman" w:hAnsi="Times New Roman"/>
          <w:b w:val="false"/>
          <w:i/>
          <w:color w:val="000000"/>
          <w:sz w:val="22"/>
        </w:rPr>
        <w:t xml:space="preserve">Scope and applicability. </w:t>
      </w:r>
      <w:r>
        <w:rPr>
          <w:rFonts w:ascii="Times New Roman" w:hAnsi="Times New Roman"/>
          <w:b w:val="false"/>
          <w:i w:val="false"/>
          <w:color w:val="000000"/>
          <w:sz w:val="22"/>
        </w:rPr>
        <w:t xml:space="preserve">The department’s authority for office space assignment applies to all state office space, including leased office space, at the seat of government except for buildings and grounds described in Iowa Code section </w:t>
      </w:r>
      <w:hyperlink r:id="rId29">
        <w:r>
          <w:rPr>
            <w:rStyle w:val="Hyperlink"/>
            <w:rFonts w:ascii="Times New Roman" w:hAnsi="Times New Roman"/>
            <w:b w:val="false"/>
            <w:i w:val="false"/>
            <w:color w:val="000000"/>
            <w:sz w:val="22"/>
          </w:rPr>
          <w:t>216B.3, subsection 6</w:t>
        </w:r>
      </w:hyperlink>
      <w:r>
        <w:rPr>
          <w:rFonts w:ascii="Times New Roman" w:hAnsi="Times New Roman"/>
          <w:b w:val="false"/>
          <w:i w:val="false"/>
          <w:color w:val="000000"/>
          <w:sz w:val="22"/>
        </w:rPr>
        <w:t xml:space="preserve">; section </w:t>
      </w:r>
      <w:hyperlink r:id="rId30">
        <w:r>
          <w:rPr>
            <w:rStyle w:val="Hyperlink"/>
            <w:rFonts w:ascii="Times New Roman" w:hAnsi="Times New Roman"/>
            <w:b w:val="false"/>
            <w:i w:val="false"/>
            <w:color w:val="000000"/>
            <w:sz w:val="22"/>
          </w:rPr>
          <w:t>2.43</w:t>
        </w:r>
      </w:hyperlink>
      <w:r>
        <w:rPr>
          <w:rFonts w:ascii="Times New Roman" w:hAnsi="Times New Roman"/>
          <w:b w:val="false"/>
          <w:i w:val="false"/>
          <w:color w:val="000000"/>
          <w:sz w:val="22"/>
        </w:rPr>
        <w:t>, unnumbered paragraph 1; and any buildings under the custody and control of the Iowa public employees’ retirement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100.6(3)</w:t>
      </w:r>
      <w:r>
        <w:rPr>
          <w:rFonts w:ascii="Times New Roman" w:hAnsi="Times New Roman"/>
          <w:b w:val="false"/>
          <w:i w:val="false"/>
          <w:color w:val="000000"/>
          <w:sz w:val="22"/>
        </w:rPr>
        <w:t> </w:t>
      </w:r>
      <w:r>
        <w:rPr>
          <w:rFonts w:ascii="Times New Roman" w:hAnsi="Times New Roman"/>
          <w:b w:val="false"/>
          <w:i/>
          <w:color w:val="000000"/>
          <w:sz w:val="22"/>
        </w:rPr>
        <w:t xml:space="preserve">Office space standards. </w:t>
      </w:r>
      <w:r>
        <w:rPr>
          <w:rFonts w:ascii="Times New Roman" w:hAnsi="Times New Roman"/>
          <w:b w:val="false"/>
          <w:i w:val="false"/>
          <w:color w:val="000000"/>
          <w:sz w:val="22"/>
        </w:rPr>
        <w:t>State agencies are required to use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of administrative services has developed and shall maintain, in cooperation with state agencies, office space standards, expressed in square feet for individual offices classified by type of work, and by occupancy, expressed as the number of occupants per building floor or major unit thereof. These standards will be used to facilitate space planning, but are not intended to be applied in an exact manner to each cubicle or office. Some flexibility may be allowed in the work plan created for managing changes to use of office space to provide for unique agency needs. All office space layouts shall comply with applicable federal and state regulations and codes.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of administrative services has defined and shall maintain, in cooperation with state agencies and Iowa Prison Industries (IPI), modular office systems standards, expressed by function and connectivity, for use by state agencies. These standards are for the purpose of facilitating reuse of modular office system components.</w:t>
      </w:r>
    </w:p>
    <w:p>
      <w:pPr>
        <w:spacing w:before="0" w:after="0"/>
        <w:ind w:left="120"/>
        <w:jc w:val="both"/>
      </w:pPr>
      <w:r>
        <w:rPr>
          <w:rFonts w:ascii="Times New Roman" w:hAnsi="Times New Roman"/>
          <w:b w:val="false"/>
          <w:i w:val="false"/>
          <w:color w:val="000000"/>
          <w:sz w:val="22"/>
        </w:rPr>
        <w:t>The requirement to follow these standards may be waived by the director when supported by a written factual and objective business case analysis that provides clear and convincing evidence to support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100.6(4)</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intended office space or office systems modifications. </w:t>
      </w:r>
      <w:r>
        <w:rPr>
          <w:rFonts w:ascii="Times New Roman" w:hAnsi="Times New Roman"/>
          <w:b w:val="false"/>
          <w:i w:val="false"/>
          <w:color w:val="000000"/>
          <w:sz w:val="22"/>
        </w:rPr>
        <w:t>To facilitate office space planning and cost-effective space utilization, an agency shall notify the department in writing at least 45 days prior to expected completion of the work whenever an agency becomes aware of possible modifications to an agency’s organization, programs or mission which may require a corresponding increase or decrease in an agency’s current office space requirements; or when an agency first identifies a need to modify use of assigned office space including relocating wiring, replacing, adding or deleting modular office components, or making other floor plan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100.6(5)</w:t>
      </w:r>
      <w:r>
        <w:rPr>
          <w:rFonts w:ascii="Times New Roman" w:hAnsi="Times New Roman"/>
          <w:b w:val="false"/>
          <w:i w:val="false"/>
          <w:color w:val="000000"/>
          <w:sz w:val="22"/>
        </w:rPr>
        <w:t> </w:t>
      </w:r>
      <w:r>
        <w:rPr>
          <w:rFonts w:ascii="Times New Roman" w:hAnsi="Times New Roman"/>
          <w:b w:val="false"/>
          <w:i/>
          <w:color w:val="000000"/>
          <w:sz w:val="22"/>
        </w:rPr>
        <w:t xml:space="preserve">Work plan. </w:t>
      </w:r>
      <w:r>
        <w:rPr>
          <w:rFonts w:ascii="Times New Roman" w:hAnsi="Times New Roman"/>
          <w:b w:val="false"/>
          <w:i w:val="false"/>
          <w:color w:val="000000"/>
          <w:sz w:val="22"/>
        </w:rPr>
        <w:t>Upon written notification of intended office space or office systems modifications, the department of administrative services and the agency will negotiate and complete a work plan including but not limited to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intended space modification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tasks required to achieve the intended result, such as creating construction specifications, identifying wiring needs, selection of a space planner and a moving service, and identifying related purchases;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party responsible for accomplishing each task;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scheduled time line for tasks included in the design, installation (construction and move) and completion of the project.</w:t>
      </w:r>
    </w:p>
    <w:p>
      <w:pPr>
        <w:spacing w:before="0" w:after="0"/>
        <w:ind w:left="120"/>
        <w:jc w:val="both"/>
      </w:pPr>
      <w:r>
        <w:rPr>
          <w:rFonts w:ascii="Times New Roman" w:hAnsi="Times New Roman"/>
          <w:b w:val="false"/>
          <w:i w:val="false"/>
          <w:color w:val="000000"/>
          <w:sz w:val="22"/>
        </w:rPr>
        <w:t>An agency may not proceed with office space modifications in the absence of a work plan agreed to and approved in writing by the agency and the department of administrative services. The work plan shall be modified to reflect any changes in intended results, tasks, responsibilities and time schedule.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100.6(6)</w:t>
      </w:r>
      <w:r>
        <w:rPr>
          <w:rFonts w:ascii="Times New Roman" w:hAnsi="Times New Roman"/>
          <w:b w:val="false"/>
          <w:i w:val="false"/>
          <w:color w:val="000000"/>
          <w:sz w:val="22"/>
        </w:rPr>
        <w:t> </w:t>
      </w:r>
      <w:r>
        <w:rPr>
          <w:rFonts w:ascii="Times New Roman" w:hAnsi="Times New Roman"/>
          <w:b w:val="false"/>
          <w:i/>
          <w:color w:val="000000"/>
          <w:sz w:val="22"/>
        </w:rPr>
        <w:t xml:space="preserve">Purchase of standard modular office systems and components. </w:t>
      </w:r>
      <w:r>
        <w:rPr>
          <w:rFonts w:ascii="Times New Roman" w:hAnsi="Times New Roman"/>
          <w:b w:val="false"/>
          <w:i w:val="false"/>
          <w:color w:val="000000"/>
          <w:sz w:val="22"/>
        </w:rPr>
        <w:t xml:space="preserve">If Iowa Prison Industries (IPI) manufactures office furniture and standard modular office systems and related components, an agency shall purchase them from IPI or obtain a written waiver in accordance with Iowa Code section </w:t>
      </w:r>
      <w:hyperlink r:id="rId31">
        <w:r>
          <w:rPr>
            <w:rStyle w:val="Hyperlink"/>
            <w:rFonts w:ascii="Times New Roman" w:hAnsi="Times New Roman"/>
            <w:b w:val="false"/>
            <w:i w:val="false"/>
            <w:color w:val="000000"/>
            <w:sz w:val="22"/>
          </w:rPr>
          <w:t>904.808</w:t>
        </w:r>
      </w:hyperlink>
      <w:r>
        <w:rPr>
          <w:rFonts w:ascii="Times New Roman" w:hAnsi="Times New Roman"/>
          <w:b w:val="false"/>
          <w:i w:val="false"/>
          <w:color w:val="000000"/>
          <w:sz w:val="22"/>
        </w:rPr>
        <w:t xml:space="preserve">, except as otherwise permitted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Purchase from a targeted small business. </w:t>
      </w:r>
      <w:r>
        <w:rPr>
          <w:rFonts w:ascii="Times New Roman" w:hAnsi="Times New Roman"/>
          <w:b w:val="false"/>
          <w:i w:val="false"/>
          <w:color w:val="000000"/>
          <w:sz w:val="22"/>
        </w:rPr>
        <w:t xml:space="preserve">An agency may purchase standard modular office systems and related components and other furniture items from a targeted small business (TSB) without further competition when the purchase will not exceed the threshold established in </w:t>
      </w:r>
      <w:hyperlink r:id="rId32">
        <w:r>
          <w:rPr>
            <w:rStyle w:val="Hyperlink"/>
            <w:rFonts w:ascii="Times New Roman" w:hAnsi="Times New Roman"/>
            <w:b w:val="false"/>
            <w:i w:val="false"/>
            <w:color w:val="000000"/>
            <w:sz w:val="22"/>
          </w:rPr>
          <w:t>11—subrule 117.5(2)</w:t>
        </w:r>
      </w:hyperlink>
      <w:r>
        <w:rPr>
          <w:rFonts w:ascii="Times New Roman" w:hAnsi="Times New Roman"/>
          <w:b w:val="false"/>
          <w:i w:val="false"/>
          <w:color w:val="000000"/>
          <w:sz w:val="22"/>
        </w:rPr>
        <w:t xml:space="preserve">, as provided in Iowa Code section </w:t>
      </w:r>
      <w:hyperlink r:id="rId33">
        <w:r>
          <w:rPr>
            <w:rStyle w:val="Hyperlink"/>
            <w:rFonts w:ascii="Times New Roman" w:hAnsi="Times New Roman"/>
            <w:b w:val="false"/>
            <w:i w:val="false"/>
            <w:color w:val="000000"/>
            <w:sz w:val="22"/>
          </w:rPr>
          <w:t>8A.311(10)</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Procurement of standard modular office systems and components and other furniture items manufactured in Iowa. </w:t>
      </w:r>
      <w:r>
        <w:rPr>
          <w:rFonts w:ascii="Times New Roman" w:hAnsi="Times New Roman"/>
          <w:b w:val="false"/>
          <w:i w:val="false"/>
          <w:color w:val="000000"/>
          <w:sz w:val="22"/>
        </w:rPr>
        <w:t>An agency may conduct a competitive procurement for standard modular office systems and related components and other furniture items that IPI manufactures if the competitive procurement requires that the products must be manufactured in Iowa. In such procurements, IPI shall be allowed to submit a bid to provide the products. If a bidder other than IPI is the lowest bidder, the agency shall obtain written verification from the bidder that the bidder’s product is manufactured in Iowa before making the award.</w:t>
      </w:r>
    </w:p>
    <w:p>
      <w:pPr>
        <w:spacing w:before="0" w:after="0"/>
        <w:ind w:left="120"/>
        <w:jc w:val="both"/>
      </w:pPr>
      <w:r>
        <w:rPr>
          <w:rFonts w:ascii="Times New Roman" w:hAnsi="Times New Roman"/>
          <w:b w:val="false"/>
          <w:i w:val="false"/>
          <w:color w:val="000000"/>
          <w:sz w:val="22"/>
        </w:rPr>
        <w:t>The portion of the work plan for purchasing modular office systems or office furniture shall allow for the issuance of purchase orders at least 30 days prior to the desired delivery date.</w:t>
      </w:r>
    </w:p>
    <w:p>
      <w:pPr>
        <w:spacing w:before="0" w:after="0"/>
        <w:ind w:left="120"/>
        <w:jc w:val="both"/>
      </w:pPr>
      <w:r>
        <w:rPr>
          <w:rFonts w:ascii="Times New Roman" w:hAnsi="Times New Roman"/>
          <w:b w:val="false"/>
          <w:i w:val="false"/>
          <w:color w:val="000000"/>
          <w:sz w:val="22"/>
        </w:rPr>
        <w:t>Regardless of how an agency purchases or obtains modular office components, the department of administrative services shall retain responsibility for management and coordination of office space planning.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100.6(7)</w:t>
      </w:r>
      <w:r>
        <w:rPr>
          <w:rFonts w:ascii="Times New Roman" w:hAnsi="Times New Roman"/>
          <w:b w:val="false"/>
          <w:i w:val="false"/>
          <w:color w:val="000000"/>
          <w:sz w:val="22"/>
        </w:rPr>
        <w:t> </w:t>
      </w:r>
      <w:r>
        <w:rPr>
          <w:rFonts w:ascii="Times New Roman" w:hAnsi="Times New Roman"/>
          <w:b w:val="false"/>
          <w:i/>
          <w:color w:val="000000"/>
          <w:sz w:val="22"/>
        </w:rPr>
        <w:t xml:space="preserve">Disposal of surplus office modular components, furniture and equipment. </w:t>
      </w:r>
      <w:r>
        <w:rPr>
          <w:rFonts w:ascii="Times New Roman" w:hAnsi="Times New Roman"/>
          <w:b w:val="false"/>
          <w:i w:val="false"/>
          <w:color w:val="000000"/>
          <w:sz w:val="22"/>
        </w:rPr>
        <w:t>State agencies may dispose of unfit or unnecessary office modular components, furniture and equipment by contacting the state surplus office, as identified by the department; offering items in good repair to other agencies either through the department or directly to other agencies; or trading in used items when purchasing replacements.</w:t>
      </w:r>
    </w:p>
    <w:p>
      <w:pPr>
        <w:spacing w:before="0" w:after="0"/>
        <w:ind w:left="120"/>
        <w:jc w:val="both"/>
      </w:pPr>
      <w:r>
        <w:rPr>
          <w:rFonts w:ascii="Times New Roman" w:hAnsi="Times New Roman"/>
          <w:b w:val="false"/>
          <w:i w:val="false"/>
          <w:color w:val="000000"/>
          <w:sz w:val="22"/>
        </w:rPr>
        <w:t>Any costs associated with disposal of nonstandard modular office components are the responsibility of the state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3676C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i w:val="false"/>
          <w:color w:val="000000"/>
          <w:sz w:val="16"/>
        </w:rPr>
        <w:t>ARC 7018C</w:t>
      </w:r>
      <w:r>
        <w:rPr>
          <w:rFonts w:ascii="Times New Roman" w:hAnsi="Times New Roman"/>
          <w:b w:val="false"/>
          <w:i w:val="false"/>
          <w:color w:val="000000"/>
          <w:sz w:val="16"/>
        </w:rPr>
        <w:t>, IAB 5/17/23, effective 6/21/23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4">
        <w:r>
          <w:rPr>
            <w:rStyle w:val="Hyperlink"/>
            <w:rFonts w:ascii="Times New Roman" w:hAnsi="Times New Roman"/>
            <w:b w:val="false"/>
            <w:i w:val="false"/>
            <w:color w:val="000000"/>
            <w:sz w:val="22"/>
          </w:rPr>
          <w:t>8A.104</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8A.321</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8A.322</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303.9</w:t>
        </w:r>
      </w:hyperlink>
      <w:r>
        <w:rPr>
          <w:rFonts w:ascii="Times New Roman" w:hAnsi="Times New Roman"/>
          <w:b w:val="false"/>
          <w:i w:val="false"/>
          <w:color w:val="000000"/>
          <w:sz w:val="22"/>
        </w:rPr>
        <w:t xml:space="preserve"> and chapters </w:t>
      </w:r>
      <w:hyperlink r:id="rId38">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216D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1/11/02—published 2/6/02, effective 1/14/02]</w:t>
      </w:r>
    </w:p>
    <w:p>
      <w:pPr>
        <w:spacing w:before="0" w:after="0"/>
        <w:ind w:left="120"/>
        <w:jc w:val="center"/>
      </w:pPr>
      <w:r>
        <w:rPr>
          <w:rFonts w:ascii="Times New Roman" w:hAnsi="Times New Roman"/>
          <w:b w:val="false"/>
          <w:i w:val="false"/>
          <w:color w:val="000000"/>
          <w:sz w:val="21"/>
        </w:rPr>
        <w:t>[Filed 4/26/02, Notice 2/6/02—published 5/15/02, effective 7/1/02]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1/17/03, Notice 12/11/02—published 2/5/03, effective 3/12/03]</w:t>
      </w:r>
    </w:p>
    <w:p>
      <w:pPr>
        <w:spacing w:before="0" w:after="0"/>
        <w:ind w:left="120"/>
        <w:jc w:val="center"/>
      </w:pPr>
      <w:r>
        <w:rPr>
          <w:rFonts w:ascii="Times New Roman" w:hAnsi="Times New Roman"/>
          <w:b w:val="false"/>
          <w:i w:val="false"/>
          <w:color w:val="000000"/>
          <w:sz w:val="21"/>
        </w:rPr>
        <w:t>[Filed emergency 8/29/03—published 9/17/03, effective 9/2/03]</w:t>
      </w:r>
    </w:p>
    <w:p>
      <w:pPr>
        <w:spacing w:before="0" w:after="0"/>
        <w:ind w:left="120"/>
        <w:jc w:val="center"/>
      </w:pPr>
      <w:r>
        <w:rPr>
          <w:rFonts w:ascii="Times New Roman" w:hAnsi="Times New Roman"/>
          <w:b w:val="false"/>
          <w:i w:val="false"/>
          <w:color w:val="000000"/>
          <w:sz w:val="21"/>
        </w:rPr>
        <w:t>[Filed 5/5/04, Notice 3/31/04—published 5/26/04, effective 6/30/04]</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center"/>
      </w:pPr>
      <w:r>
        <w:rPr>
          <w:rFonts w:ascii="Times New Roman" w:hAnsi="Times New Roman"/>
          <w:b w:val="false"/>
          <w:i w:val="false"/>
          <w:color w:val="000000"/>
          <w:sz w:val="21"/>
        </w:rPr>
        <w:t>[Filed 10/3/07, Notice 8/29/07—published 10/24/07, effective 11/28/07]</w:t>
      </w:r>
    </w:p>
    <w:p>
      <w:pPr>
        <w:spacing w:before="0" w:after="0"/>
        <w:ind w:left="120"/>
        <w:jc w:val="center"/>
      </w:pPr>
      <w:r>
        <w:rPr>
          <w:rFonts w:ascii="Times New Roman" w:hAnsi="Times New Roman"/>
          <w:b w:val="false"/>
          <w:i w:val="false"/>
          <w:color w:val="000000"/>
          <w:sz w:val="21"/>
        </w:rPr>
        <w:t>[Filed Emergency ARC 3179C, IAB 7/5/17, effective 7/1/17]</w:t>
      </w:r>
    </w:p>
    <w:p>
      <w:pPr>
        <w:spacing w:before="0" w:after="0"/>
        <w:ind w:left="120"/>
        <w:jc w:val="center"/>
      </w:pPr>
      <w:r>
        <w:rPr>
          <w:rFonts w:ascii="Times New Roman" w:hAnsi="Times New Roman"/>
          <w:b w:val="false"/>
          <w:i w:val="false"/>
          <w:color w:val="000000"/>
          <w:sz w:val="21"/>
        </w:rPr>
        <w:t>[Filed ARC 3287C</w:t>
      </w:r>
      <w:r>
        <w:rPr>
          <w:rFonts w:ascii="Times New Roman" w:hAnsi="Times New Roman"/>
          <w:b w:val="false"/>
          <w:i w:val="false"/>
          <w:color w:val="000000"/>
          <w:sz w:val="21"/>
        </w:rPr>
        <w:t xml:space="preserve"> (Notice ARC 3177C, IAB 7/5/17)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ARC 3676C</w:t>
      </w:r>
      <w:r>
        <w:rPr>
          <w:rFonts w:ascii="Times New Roman" w:hAnsi="Times New Roman"/>
          <w:b w:val="false"/>
          <w:i w:val="false"/>
          <w:color w:val="000000"/>
          <w:sz w:val="21"/>
        </w:rPr>
        <w:t xml:space="preserve"> (Notice ARC 3574C, IAB 1/17/18)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4053C</w:t>
      </w:r>
      <w:r>
        <w:rPr>
          <w:rFonts w:ascii="Times New Roman" w:hAnsi="Times New Roman"/>
          <w:b w:val="false"/>
          <w:i w:val="false"/>
          <w:color w:val="000000"/>
          <w:sz w:val="21"/>
        </w:rPr>
        <w:t xml:space="preserve"> (Notice ARC 3937C, IAB 8/15/18)</w:t>
      </w:r>
      <w:r>
        <w:rPr>
          <w:rFonts w:ascii="Times New Roman" w:hAnsi="Times New Roman"/>
          <w:b w:val="false"/>
          <w:i w:val="false"/>
          <w:color w:val="000000"/>
          <w:sz w:val="21"/>
        </w:rPr>
        <w:t>, IAB 10/10/18, effective 11/14/18]</w:t>
      </w:r>
    </w:p>
    <w:p>
      <w:pPr>
        <w:spacing w:before="0" w:after="0"/>
        <w:ind w:left="120"/>
        <w:jc w:val="center"/>
      </w:pPr>
      <w:r>
        <w:rPr>
          <w:rFonts w:ascii="Times New Roman" w:hAnsi="Times New Roman"/>
          <w:b w:val="false"/>
          <w:i w:val="false"/>
          <w:color w:val="000000"/>
          <w:sz w:val="21"/>
        </w:rPr>
        <w:t>[Filed ARC 4181C</w:t>
      </w:r>
      <w:r>
        <w:rPr>
          <w:rFonts w:ascii="Times New Roman" w:hAnsi="Times New Roman"/>
          <w:b w:val="false"/>
          <w:i w:val="false"/>
          <w:color w:val="000000"/>
          <w:sz w:val="21"/>
        </w:rPr>
        <w:t xml:space="preserve"> (Notice ARC 4084C, IAB 10/24/18)</w:t>
      </w:r>
      <w:r>
        <w:rPr>
          <w:rFonts w:ascii="Times New Roman" w:hAnsi="Times New Roman"/>
          <w:b w:val="false"/>
          <w:i w:val="false"/>
          <w:color w:val="000000"/>
          <w:sz w:val="21"/>
        </w:rPr>
        <w:t>, IAB 12/19/18, effective 1/23/19]</w:t>
      </w:r>
    </w:p>
    <w:p>
      <w:pPr>
        <w:spacing w:before="0" w:after="0"/>
        <w:ind w:left="120"/>
        <w:jc w:val="center"/>
      </w:pPr>
      <w:r>
        <w:rPr>
          <w:rFonts w:ascii="Times New Roman" w:hAnsi="Times New Roman"/>
          <w:b w:val="false"/>
          <w:i w:val="false"/>
          <w:color w:val="000000"/>
          <w:sz w:val="21"/>
        </w:rPr>
        <w:t>[Filed ARC 5391C</w:t>
      </w:r>
      <w:r>
        <w:rPr>
          <w:rFonts w:ascii="Times New Roman" w:hAnsi="Times New Roman"/>
          <w:b w:val="false"/>
          <w:i w:val="false"/>
          <w:color w:val="000000"/>
          <w:sz w:val="21"/>
        </w:rPr>
        <w:t xml:space="preserve"> (Notice ARC 5243C, IAB 11/4/20)</w:t>
      </w:r>
      <w:r>
        <w:rPr>
          <w:rFonts w:ascii="Times New Roman" w:hAnsi="Times New Roman"/>
          <w:b w:val="false"/>
          <w:i w:val="false"/>
          <w:color w:val="000000"/>
          <w:sz w:val="21"/>
        </w:rPr>
        <w:t>, IAB 1/13/21, effective 2/17/21]</w:t>
      </w:r>
    </w:p>
    <w:p>
      <w:pPr>
        <w:spacing w:before="0" w:after="0"/>
        <w:ind w:left="120"/>
        <w:jc w:val="center"/>
      </w:pPr>
      <w:r>
        <w:rPr>
          <w:rFonts w:ascii="Times New Roman" w:hAnsi="Times New Roman"/>
          <w:b w:val="false"/>
          <w:i w:val="false"/>
          <w:color w:val="000000"/>
          <w:sz w:val="21"/>
        </w:rPr>
        <w:t>[Filed ARC 5993C</w:t>
      </w:r>
      <w:r>
        <w:rPr>
          <w:rFonts w:ascii="Times New Roman" w:hAnsi="Times New Roman"/>
          <w:b w:val="false"/>
          <w:i w:val="false"/>
          <w:color w:val="000000"/>
          <w:sz w:val="21"/>
        </w:rPr>
        <w:t xml:space="preserve"> (Notice ARC 5718C, IAB 6/16/21)</w:t>
      </w:r>
      <w:r>
        <w:rPr>
          <w:rFonts w:ascii="Times New Roman" w:hAnsi="Times New Roman"/>
          <w:b w:val="false"/>
          <w:i w:val="false"/>
          <w:color w:val="000000"/>
          <w:sz w:val="21"/>
        </w:rPr>
        <w:t>, IAB 10/20/21, effective 11/24/21]</w:t>
      </w:r>
    </w:p>
    <w:p>
      <w:pPr>
        <w:spacing w:before="0" w:after="0"/>
        <w:ind w:left="120"/>
        <w:jc w:val="center"/>
      </w:pPr>
      <w:r>
        <w:rPr>
          <w:rFonts w:ascii="Times New Roman" w:hAnsi="Times New Roman"/>
          <w:b w:val="false"/>
          <w:i w:val="false"/>
          <w:color w:val="000000"/>
          <w:sz w:val="21"/>
        </w:rPr>
        <w:t>[Filed ARC 7018C</w:t>
      </w:r>
      <w:r>
        <w:rPr>
          <w:rFonts w:ascii="Times New Roman" w:hAnsi="Times New Roman"/>
          <w:b w:val="false"/>
          <w:i w:val="false"/>
          <w:color w:val="000000"/>
          <w:sz w:val="21"/>
        </w:rPr>
        <w:t xml:space="preserve"> (Notice ARC 6883C, IAB 2/8/23)</w:t>
      </w:r>
      <w:r>
        <w:rPr>
          <w:rFonts w:ascii="Times New Roman" w:hAnsi="Times New Roman"/>
          <w:b w:val="false"/>
          <w:i w:val="false"/>
          <w:color w:val="000000"/>
          <w:sz w:val="21"/>
        </w:rPr>
        <w:t>, IAB 5/17/23, effective 6/21/23]</w:t>
      </w:r>
    </w:p>
    <w:p>
      <w:pPr>
        <w:pBdr>
          <w:bottom w:space="2"/>
        </w:pBdr>
        <w:spacing w:before="0" w:after="0"/>
        <w:ind w:left="120"/>
        <w:jc w:val="both"/>
      </w:pPr>
      <w:r>
        <w:rPr>
          <w:rFonts w:ascii="Times New Roman" w:hAnsi="Times New Roman"/>
          <w:b w:val="false"/>
          <w:i w:val="false"/>
          <w:color w:val="000000"/>
          <w:sz w:val="22"/>
        </w:rPr>
        <w:t>At its meeting held June 11, 2002, the Administrative Rules Review Committee imposed a 70-day delay on the effective date of rule 401—3.4(18); the delay was lifted by the Committee at its meeting held July 9, 2002, effective July 10, 2002.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A.101.pdf" Type="http://schemas.openxmlformats.org/officeDocument/2006/relationships/hyperlink" Id="rId5"/>
    <Relationship TargetMode="External" Target="https://www.legis.iowa.gov/docs/ico/chapter/8A.301.pdf" Type="http://schemas.openxmlformats.org/officeDocument/2006/relationships/hyperlink" Id="rId6"/>
    <Relationship TargetMode="External" Target="https://www.legis.iowa.gov/docs/ico/chapter/724.1.pdf" Type="http://schemas.openxmlformats.org/officeDocument/2006/relationships/hyperlink" Id="rId7"/>
    <Relationship TargetMode="External" Target="https://www.legis.iowa.gov/docs/iac/rule/11.100.2.pdf" Type="http://schemas.openxmlformats.org/officeDocument/2006/relationships/hyperlink" Id="rId8"/>
    <Relationship TargetMode="External" Target="https://www.legis.iowa.gov/docs/iac/chapter/11.9.pdf" Type="http://schemas.openxmlformats.org/officeDocument/2006/relationships/hyperlink" Id="rId9"/>
    <Relationship TargetMode="External" Target="https://www.legis.iowa.gov/docs/iac/rule/11.100.2.pdf" Type="http://schemas.openxmlformats.org/officeDocument/2006/relationships/hyperlink" Id="rId10"/>
    <Relationship TargetMode="External" Target="https://www.legis.iowa.gov/docs/ico/chapter/801.4.pdf" Type="http://schemas.openxmlformats.org/officeDocument/2006/relationships/hyperlink" Id="rId11"/>
    <Relationship TargetMode="External" Target="https://www.legis.iowa.gov/docs/ico/chapter/35A.12.pdf" Type="http://schemas.openxmlformats.org/officeDocument/2006/relationships/hyperlink" Id="rId12"/>
    <Relationship TargetMode="External" Target="https://www.legis.iowa.gov/docs/ico/chapter/8A.322.pdf" Type="http://schemas.openxmlformats.org/officeDocument/2006/relationships/hyperlink" Id="rId13"/>
    <Relationship TargetMode="External" Target="https://www.legis.iowa.gov/docs/ico/chapter/8A.322.pdf" Type="http://schemas.openxmlformats.org/officeDocument/2006/relationships/hyperlink" Id="rId14"/>
    <Relationship TargetMode="External" Target="https://www.legis.iowa.gov/docs/ico/chapter/8A.322.pdf" Type="http://schemas.openxmlformats.org/officeDocument/2006/relationships/hyperlink" Id="rId15"/>
    <Relationship TargetMode="External" Target="https://www.legis.iowa.gov/docs/ico/chapter/727.2.pdf" Type="http://schemas.openxmlformats.org/officeDocument/2006/relationships/hyperlink" Id="rId16"/>
    <Relationship TargetMode="External" Target="https://www.legis.iowa.gov/docs/ico/chapter/8A.322.pdf" Type="http://schemas.openxmlformats.org/officeDocument/2006/relationships/hyperlink" Id="rId17"/>
    <Relationship TargetMode="External" Target="https://www.legis.iowa.gov/docs/ico/chapter/142D.pdf" Type="http://schemas.openxmlformats.org/officeDocument/2006/relationships/hyperlink" Id="rId18"/>
    <Relationship TargetMode="External" Target="http://das.iowa.gov" Type="http://schemas.openxmlformats.org/officeDocument/2006/relationships/hyperlink" Id="rId19"/>
    <Relationship TargetMode="External" Target="https://www.legis.iowa.gov/docs/iac/rule/11.100.4.pdf" Type="http://schemas.openxmlformats.org/officeDocument/2006/relationships/hyperlink" Id="rId20"/>
    <Relationship TargetMode="External" Target="https://www.legis.iowa.gov/docs/ico/chapter/123.pdf" Type="http://schemas.openxmlformats.org/officeDocument/2006/relationships/hyperlink" Id="rId21"/>
    <Relationship TargetMode="External" Target="https://www.legis.iowa.gov/docs/ico/chapter/8A.322.pdf" Type="http://schemas.openxmlformats.org/officeDocument/2006/relationships/hyperlink" Id="rId22"/>
    <Relationship TargetMode="External" Target="https://www.legis.iowa.gov/docs/iac/rule/11.100.4.pdf" Type="http://schemas.openxmlformats.org/officeDocument/2006/relationships/hyperlink" Id="rId23"/>
    <Relationship TargetMode="External" Target="https://www.legis.iowa.gov/docs/iac/rule/11.100.4.pdf" Type="http://schemas.openxmlformats.org/officeDocument/2006/relationships/hyperlink" Id="rId24"/>
    <Relationship TargetMode="External" Target="https://www.legis.iowa.gov/docs/ico/chapter/68B.pdf" Type="http://schemas.openxmlformats.org/officeDocument/2006/relationships/hyperlink" Id="rId25"/>
    <Relationship TargetMode="External" Target="https://www.legis.iowa.gov/docs/ico/chapter/8A.322.pdf" Type="http://schemas.openxmlformats.org/officeDocument/2006/relationships/hyperlink" Id="rId26"/>
    <Relationship TargetMode="External" Target="https://www.legis.iowa.gov/docs/ico/chapter/303.9.pdf" Type="http://schemas.openxmlformats.org/officeDocument/2006/relationships/hyperlink" Id="rId27"/>
    <Relationship TargetMode="External" Target="https://www.legis.iowa.gov/docs/ico/chapter/216D.pdf" Type="http://schemas.openxmlformats.org/officeDocument/2006/relationships/hyperlink" Id="rId28"/>
    <Relationship TargetMode="External" Target="https://www.legis.iowa.gov/docs/ico/chapter/216B.3.pdf" Type="http://schemas.openxmlformats.org/officeDocument/2006/relationships/hyperlink" Id="rId29"/>
    <Relationship TargetMode="External" Target="https://www.legis.iowa.gov/docs/ico/chapter/2.43.pdf" Type="http://schemas.openxmlformats.org/officeDocument/2006/relationships/hyperlink" Id="rId30"/>
    <Relationship TargetMode="External" Target="https://www.legis.iowa.gov/docs/ico/chapter/904.808.pdf" Type="http://schemas.openxmlformats.org/officeDocument/2006/relationships/hyperlink" Id="rId31"/>
    <Relationship TargetMode="External" Target="https://www.legis.iowa.gov/docs/iac/rule/11.117.5.pdf" Type="http://schemas.openxmlformats.org/officeDocument/2006/relationships/hyperlink" Id="rId32"/>
    <Relationship TargetMode="External" Target="https://www.legis.iowa.gov/docs/ico/chapter/8A.311.pdf" Type="http://schemas.openxmlformats.org/officeDocument/2006/relationships/hyperlink" Id="rId33"/>
    <Relationship TargetMode="External" Target="https://www.legis.iowa.gov/docs/ico/chapter/8A.104.pdf" Type="http://schemas.openxmlformats.org/officeDocument/2006/relationships/hyperlink" Id="rId34"/>
    <Relationship TargetMode="External" Target="https://www.legis.iowa.gov/docs/ico/chapter/8A.321.pdf" Type="http://schemas.openxmlformats.org/officeDocument/2006/relationships/hyperlink" Id="rId35"/>
    <Relationship TargetMode="External" Target="https://www.legis.iowa.gov/docs/ico/chapter/8A.322.pdf" Type="http://schemas.openxmlformats.org/officeDocument/2006/relationships/hyperlink" Id="rId36"/>
    <Relationship TargetMode="External" Target="https://www.legis.iowa.gov/docs/ico/chapter/303.9.pdf" Type="http://schemas.openxmlformats.org/officeDocument/2006/relationships/hyperlink" Id="rId37"/>
    <Relationship TargetMode="External" Target="https://www.legis.iowa.gov/docs/ico/chapter/142D.pdf" Type="http://schemas.openxmlformats.org/officeDocument/2006/relationships/hyperlink" Id="rId38"/>
    <Relationship TargetMode="External" Target="https://www.legis.iowa.gov/docs/ico/chapter/216D.pdf" Type="http://schemas.openxmlformats.org/officeDocument/2006/relationships/hyperlink" Id="rId3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