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DEPARTMENTAL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DEPARTMENT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w:t>
      </w:r>
      <w:r>
        <w:rPr>
          <w:rFonts w:ascii="Times New Roman" w:hAnsi="Times New Roman"/>
          <w:b/>
          <w:i w:val="false"/>
          <w:color w:val="000000"/>
          <w:sz w:val="22"/>
        </w:rPr>
        <w:t xml:space="preserve">(8A) </w:t>
      </w:r>
      <w:r>
        <w:rPr>
          <w:rFonts w:ascii="Times New Roman" w:hAnsi="Times New Roman"/>
          <w:b/>
          <w:i w:val="false"/>
          <w:color w:val="000000"/>
          <w:sz w:val="22"/>
        </w:rPr>
        <w:t xml:space="preserve">Creation and mission. </w:t>
      </w:r>
      <w:r>
        <w:rPr>
          <w:rFonts w:ascii="Times New Roman" w:hAnsi="Times New Roman"/>
          <w:b w:val="false"/>
          <w:i w:val="false"/>
          <w:color w:val="000000"/>
          <w:sz w:val="22"/>
        </w:rPr>
        <w:t xml:space="preserve">The department of administrative services (DAS) is established in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 department manages and coordinates the major resources of state government, including the human, financial, and physical resources. The department was created to implement a world-class, customer-focused organization that provides a complement of valued products and services to the internal customers of state government.</w:t>
      </w:r>
    </w:p>
    <w:p>
      <w:pPr>
        <w:spacing w:before="0" w:after="0"/>
        <w:ind w:left="120"/>
        <w:jc w:val="both"/>
      </w:pPr>
      <w:r>
        <w:rPr>
          <w:rFonts w:ascii="Times New Roman" w:hAnsi="Times New Roman"/>
          <w:b w:val="false"/>
          <w:i w:val="false"/>
          <w:color w:val="000000"/>
          <w:sz w:val="22"/>
        </w:rPr>
        <w:t>The mission of the department is to provide high-quality, affordable infrastructure products and services to its customers—Iowa state government and other government entities—in a manner that allows them to provide better service to the citizens of Iowa and to support the state of Iowa in achieving economic growth.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w:t>
      </w:r>
      <w:r>
        <w:rPr>
          <w:rFonts w:ascii="Times New Roman" w:hAnsi="Times New Roman"/>
          <w:b/>
          <w:i w:val="false"/>
          <w:color w:val="000000"/>
          <w:sz w:val="22"/>
        </w:rPr>
        <w:t xml:space="preserve">(8A) </w:t>
      </w:r>
      <w:r>
        <w:rPr>
          <w:rFonts w:ascii="Times New Roman" w:hAnsi="Times New Roman"/>
          <w:b/>
          <w:i w:val="false"/>
          <w:color w:val="000000"/>
          <w:sz w:val="22"/>
        </w:rPr>
        <w:t xml:space="preserve">Location. </w:t>
      </w:r>
      <w:r>
        <w:rPr>
          <w:rFonts w:ascii="Times New Roman" w:hAnsi="Times New Roman"/>
          <w:b w:val="false"/>
          <w:i w:val="false"/>
          <w:color w:val="000000"/>
          <w:sz w:val="22"/>
        </w:rPr>
        <w:t>The department’s primary office is located in the Hoover State Office Building, Third Floor, 1305 East Walnut Street, Des Moines, Iowa 50319-0150.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holidays. The department’s website at </w:t>
      </w:r>
      <w:hyperlink r:id="rId6">
        <w:r>
          <w:rPr>
            <w:rStyle w:val="Hyperlink"/>
            <w:rFonts w:ascii="Times New Roman" w:hAnsi="Times New Roman"/>
            <w:b w:val="false"/>
            <w:i w:val="false"/>
            <w:color w:val="000000"/>
            <w:sz w:val="22"/>
            <w:u w:val="single"/>
          </w:rPr>
          <w:t>das.iowa.gov</w:t>
        </w:r>
      </w:hyperlink>
      <w:r>
        <w:rPr>
          <w:rFonts w:ascii="Times New Roman" w:hAnsi="Times New Roman"/>
          <w:b w:val="false"/>
          <w:i w:val="false"/>
          <w:color w:val="000000"/>
          <w:sz w:val="22"/>
        </w:rPr>
        <w:t xml:space="preserve"> provides information about the department’s organization and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w:t>
      </w:r>
      <w:r>
        <w:rPr>
          <w:rFonts w:ascii="Times New Roman" w:hAnsi="Times New Roman"/>
          <w:b/>
          <w:i w:val="false"/>
          <w:color w:val="000000"/>
          <w:sz w:val="22"/>
        </w:rPr>
        <w:t xml:space="preserve">(8A) </w:t>
      </w:r>
      <w:r>
        <w:rPr>
          <w:rFonts w:ascii="Times New Roman" w:hAnsi="Times New Roman"/>
          <w:b/>
          <w:i w:val="false"/>
          <w:color w:val="000000"/>
          <w:sz w:val="22"/>
        </w:rPr>
        <w:t xml:space="preserve">Director. </w:t>
      </w:r>
      <w:r>
        <w:rPr>
          <w:rFonts w:ascii="Times New Roman" w:hAnsi="Times New Roman"/>
          <w:b w:val="false"/>
          <w:i w:val="false"/>
          <w:color w:val="000000"/>
          <w:sz w:val="22"/>
        </w:rPr>
        <w:t>The head of the department is the director, who is appointed by the governor with the approval of two-thirds of the members of the senate. The director serves at the pleasure of the governor.</w:t>
      </w:r>
    </w:p>
    <w:p>
      <w:pPr>
        <w:spacing w:before="0" w:after="0"/>
        <w:ind w:left="120"/>
        <w:jc w:val="both"/>
      </w:pPr>
      <w:r>
        <w:rPr>
          <w:rFonts w:ascii="Times New Roman" w:hAnsi="Times New Roman"/>
          <w:b w:val="false"/>
          <w:i w:val="false"/>
          <w:color w:val="000000"/>
          <w:sz w:val="22"/>
        </w:rPr>
        <w:t>The director has the statutory authority to designate an employee of the department to carry out the powers and duties of the director in the absence of the director, or due to the inability of the director to do so.</w:t>
      </w:r>
    </w:p>
    <w:p>
      <w:pPr>
        <w:spacing w:before="0" w:after="0"/>
        <w:ind w:left="120"/>
        <w:jc w:val="both"/>
      </w:pPr>
      <w:r>
        <w:rPr>
          <w:rFonts w:ascii="Times New Roman" w:hAnsi="Times New Roman"/>
          <w:b w:val="false"/>
          <w:i w:val="false"/>
          <w:color w:val="000000"/>
          <w:sz w:val="22"/>
        </w:rPr>
        <w:t xml:space="preserve">Specific powers and duties of the department, its director, boards, task forces, advisory panels, and employees are set forth in Iowa Code chapters </w:t>
      </w:r>
      <w:hyperlink r:id="rId7">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these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11—1.4</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department. </w:t>
      </w:r>
      <w:r>
        <w:rPr>
          <w:rFonts w:ascii="Times New Roman" w:hAnsi="Times New Roman"/>
          <w:b w:val="false"/>
          <w:i w:val="false"/>
          <w:color w:val="000000"/>
          <w:sz w:val="22"/>
        </w:rPr>
        <w:t>In order to carry out the functions of the department, the following enterprises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services enterprise. </w:t>
      </w:r>
      <w:r>
        <w:rPr>
          <w:rFonts w:ascii="Times New Roman" w:hAnsi="Times New Roman"/>
          <w:b w:val="false"/>
          <w:i w:val="false"/>
          <w:color w:val="000000"/>
          <w:sz w:val="22"/>
        </w:rPr>
        <w:t>The mission of the general services enterprise is to act as the state’s business agent to meet agencies’ needs for quality, timely, reliable and cost-effective support services and provide a work environment that is healthy, safe, and well-maintained. The chief operating officer, appointed by the director, heads the general services enterprise. The following have been established within the general services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Capitol complex maintenance. </w:t>
      </w:r>
      <w:r>
        <w:rPr>
          <w:rFonts w:ascii="Times New Roman" w:hAnsi="Times New Roman"/>
          <w:b w:val="false"/>
          <w:i w:val="false"/>
          <w:color w:val="000000"/>
          <w:sz w:val="22"/>
        </w:rPr>
        <w:t>Capitol complex maintenance is responsible for the maintenance, appearance, and facility sanitation of the capitol complex buildings and grounds, including environmental control (heating, ventilation and cooling) and all support features including, but not limited to, parking lot maintenance, main electrical distribution, power generation, water supply, utilities, energy efficiency, wastewater removal, on-site safety consultation, work requests for the capitol complex, major maintenance projects associated with the capitol complex, special event coordination, monuments, physical security and access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resources. </w:t>
      </w:r>
      <w:r>
        <w:rPr>
          <w:rFonts w:ascii="Times New Roman" w:hAnsi="Times New Roman"/>
          <w:b w:val="false"/>
          <w:i w:val="false"/>
          <w:color w:val="000000"/>
          <w:sz w:val="22"/>
        </w:rPr>
        <w:t xml:space="preserve">Design and construction resources provides administration of public improvement projects, including design services, contracting for construction, and construction management oversight for state agencies except any agency of the state exempted by law. Capital funding appropriated to participating state agencies shall be transferred to design and construction resources for administration. Design and construction resources is responsible for the administration of major maintenance for agencies in accordance with Iowa Code section </w:t>
      </w:r>
      <w:hyperlink r:id="rId12">
        <w:r>
          <w:rPr>
            <w:rStyle w:val="Hyperlink"/>
            <w:rFonts w:ascii="Times New Roman" w:hAnsi="Times New Roman"/>
            <w:b w:val="false"/>
            <w:i w:val="false"/>
            <w:color w:val="000000"/>
            <w:sz w:val="22"/>
          </w:rPr>
          <w:t>8A.302(4)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Mail services. </w:t>
      </w:r>
      <w:r>
        <w:rPr>
          <w:rFonts w:ascii="Times New Roman" w:hAnsi="Times New Roman"/>
          <w:b w:val="false"/>
          <w:i w:val="false"/>
          <w:color w:val="000000"/>
          <w:sz w:val="22"/>
        </w:rPr>
        <w:t>Mail services is responsible for the processing and distribution of mail, which consists of U.S. Mail, UPS, Federal Express, courier service and interoffice mail for the state agencies on the capitol complex and in designated areas in the Des Moines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Capitol complex events. </w:t>
      </w:r>
      <w:r>
        <w:rPr>
          <w:rFonts w:ascii="Times New Roman" w:hAnsi="Times New Roman"/>
          <w:b w:val="false"/>
          <w:i w:val="false"/>
          <w:color w:val="000000"/>
          <w:sz w:val="22"/>
        </w:rPr>
        <w:t>Capitol complex events is responsible for the following functions for the enterprise: parking and building access; coordination of events in the public area of the capitol, in other buildings on the capitol complex (excluding the historical building), and on the capitol complex grounds; and providing general information regarding the buildings and grounds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Leasing and space management. </w:t>
      </w:r>
      <w:r>
        <w:rPr>
          <w:rFonts w:ascii="Times New Roman" w:hAnsi="Times New Roman"/>
          <w:b w:val="false"/>
          <w:i w:val="false"/>
          <w:color w:val="000000"/>
          <w:sz w:val="22"/>
        </w:rPr>
        <w:t xml:space="preserve">Leasing and space management is directly responsible for the management of all leased real estate across the state while also providing real estate consultation services pertaining to acquisition, disposition, and development of real property. Specific services may include market research, opinion of property value, financial analysis, long-term real estate strategy, and project management in accordance with Iowa Code section </w:t>
      </w:r>
      <w:hyperlink r:id="rId13">
        <w:r>
          <w:rPr>
            <w:rStyle w:val="Hyperlink"/>
            <w:rFonts w:ascii="Times New Roman" w:hAnsi="Times New Roman"/>
            <w:b w:val="false"/>
            <w:i w:val="false"/>
            <w:color w:val="000000"/>
            <w:sz w:val="22"/>
          </w:rPr>
          <w:t>8A.321(6)</w:t>
        </w:r>
      </w:hyperlink>
      <w:r>
        <w:rPr>
          <w:rFonts w:ascii="Times New Roman" w:hAnsi="Times New Roman"/>
          <w:b w:val="false"/>
          <w:i w:val="false"/>
          <w:color w:val="000000"/>
          <w:sz w:val="22"/>
        </w:rPr>
        <w:t>. Space planning, including moves, additions, and changes, and surplus property, is also coordinated by leasing and space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enterprise. </w:t>
      </w:r>
      <w:r>
        <w:rPr>
          <w:rFonts w:ascii="Times New Roman" w:hAnsi="Times New Roman"/>
          <w:b w:val="false"/>
          <w:i w:val="false"/>
          <w:color w:val="000000"/>
          <w:sz w:val="22"/>
        </w:rPr>
        <w:t>The human resources enterprise is responsible for human resource management in the executive branch of Iowa state government and provides limited services to the judicial and legislative branches. The mission of the human resources enterprise is to support state agencies in their delivery of services to the people of Iowa by providing programs that recruit, develop, and retain a diverse and qualified workforce, and to administer responsible employee benefits programs for the members and their beneficiaries. The director appoints the chief operating officer of the enterprise. The following have been established within the human resources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Risk and benefits management. </w:t>
      </w:r>
      <w:r>
        <w:rPr>
          <w:rFonts w:ascii="Times New Roman" w:hAnsi="Times New Roman"/>
          <w:b w:val="false"/>
          <w:i w:val="false"/>
          <w:color w:val="000000"/>
          <w:sz w:val="22"/>
        </w:rPr>
        <w:t>Risk and benefits management administers and coordinates the provision of health, dental, life, and disability insurance programs; employee leave programs; workers’ compensation, return to work, and loss control and safety programs; 457 deferred compensation; 403(b) tax-sheltered annuity and 401(a) employer match programs; unemployment insurance; and flexible spending and premium conversion programs for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Employment services. </w:t>
      </w:r>
      <w:r>
        <w:rPr>
          <w:rFonts w:ascii="Times New Roman" w:hAnsi="Times New Roman"/>
          <w:b w:val="false"/>
          <w:i w:val="false"/>
          <w:color w:val="000000"/>
          <w:sz w:val="22"/>
        </w:rPr>
        <w:t>Employment services provides application, referral, recruitment, selection, EEO/AA and diversity services related to state employment; administration of the state classification and compensation programs; and audit of personnel and payroll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Organizational performance. </w:t>
      </w:r>
      <w:r>
        <w:rPr>
          <w:rFonts w:ascii="Times New Roman" w:hAnsi="Times New Roman"/>
          <w:b w:val="false"/>
          <w:i w:val="false"/>
          <w:color w:val="000000"/>
          <w:sz w:val="22"/>
        </w:rPr>
        <w:t>Organizational performance is responsible for employment relations between the state and the certified employee representative; provides consultative services to state departments, boards, and commissions on human resource program matters; provides organization and employee development services including workforce planning and performance evaluation; and represents the state in contested case matters regarding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State accounting enterprise. </w:t>
      </w:r>
      <w:r>
        <w:rPr>
          <w:rFonts w:ascii="Times New Roman" w:hAnsi="Times New Roman"/>
          <w:b w:val="false"/>
          <w:i w:val="false"/>
          <w:color w:val="000000"/>
          <w:sz w:val="22"/>
        </w:rPr>
        <w:t>The state accounting enterprise was created to provide for the efficient management and administration of the financial resources of state government. The chief operating officer, appointed by the director, heads the enterprise. The following have been established within the state accounting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Accounting and daily processing. </w:t>
      </w:r>
      <w:r>
        <w:rPr>
          <w:rFonts w:ascii="Times New Roman" w:hAnsi="Times New Roman"/>
          <w:b w:val="false"/>
          <w:i w:val="false"/>
          <w:color w:val="000000"/>
          <w:sz w:val="22"/>
        </w:rPr>
        <w:t>Accounting and daily processing includes the functions of daily processing, income offset, and financial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functions. </w:t>
      </w:r>
      <w:r>
        <w:rPr>
          <w:rFonts w:ascii="Times New Roman" w:hAnsi="Times New Roman"/>
          <w:b w:val="false"/>
          <w:i w:val="false"/>
          <w:color w:val="000000"/>
          <w:sz w:val="22"/>
        </w:rPr>
        <w:t>The state accounting enterprise also includes financial reporting, the enterprise resource planning team, and centralized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Central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Director’s office. </w:t>
      </w:r>
      <w:r>
        <w:rPr>
          <w:rFonts w:ascii="Times New Roman" w:hAnsi="Times New Roman"/>
          <w:b w:val="false"/>
          <w:i w:val="false"/>
          <w:color w:val="000000"/>
          <w:sz w:val="22"/>
        </w:rPr>
        <w:t>The director is the head of the department. The director’s central administration provides support to the director and to the governmental and business operations of the department and its enterprises. The following functions are included: general counsel; legislative liaison; rules administrator; strategic, performance, and business continuity planning; program oversight and accountability; and departmental and enterprise policy and standards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Marketing, communications and customer council support. </w:t>
      </w:r>
      <w:r>
        <w:rPr>
          <w:rFonts w:ascii="Times New Roman" w:hAnsi="Times New Roman"/>
          <w:b w:val="false"/>
          <w:i w:val="false"/>
          <w:color w:val="000000"/>
          <w:sz w:val="22"/>
        </w:rPr>
        <w:t>Marketing, communications and customer council support provides the department’s media, public relations, and employee communications services; supports product and service marketing within each of the department’s enterprises; and coordinates customer council activities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Customer management, finance, and internal operations. </w:t>
      </w:r>
      <w:r>
        <w:rPr>
          <w:rFonts w:ascii="Times New Roman" w:hAnsi="Times New Roman"/>
          <w:b w:val="false"/>
          <w:i w:val="false"/>
          <w:color w:val="000000"/>
          <w:sz w:val="22"/>
        </w:rPr>
        <w:t xml:space="preserve">Customer management, finance, and internal operations provides customer management, finance, and internal operations oversight, administration, and support in a manner that provides accurate and timely information, safeguards assets, and facilitates fiscally responsible, employee-centered and customer-focused decision making for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Central procurement, fleet, and print services enterprise. </w:t>
      </w:r>
      <w:r>
        <w:rPr>
          <w:rFonts w:ascii="Times New Roman" w:hAnsi="Times New Roman"/>
          <w:b w:val="false"/>
          <w:i w:val="false"/>
          <w:color w:val="000000"/>
          <w:sz w:val="22"/>
        </w:rPr>
        <w:t>The chief operating officer of the enterprise is appointed by the director and directs the work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Central procurement is charged with procuring goods and services for agencies pursuant to Iowa Code chapter </w:t>
      </w:r>
      <w:hyperlink r:id="rId1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and applicable Iowa Code sections apply to the purchase of goods and services of general use by any unit of the state executive branch, except any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Fleet services is responsible for vehicle assignment, maintenance, fuel guidelines, driver guidelines, insurance, life-cycle analysis, vehicular risk, and travel requirements for state agencies not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 services is responsible for operating a centralized print facility and satellite facilities necessary to meet the printing requirements of state agencies not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State library of Iowa. </w:t>
      </w:r>
      <w:r>
        <w:rPr>
          <w:rFonts w:ascii="Times New Roman" w:hAnsi="Times New Roman"/>
          <w:b w:val="false"/>
          <w:i w:val="false"/>
          <w:color w:val="000000"/>
          <w:sz w:val="22"/>
        </w:rPr>
        <w:t xml:space="preserve">The state librarian, appointed by the director, administers the operations of the state library of Iowa. The state librarian also works with the commission of libraries. The state library of Iowa is located at 1112 East Grand Avenue, Des Moines, Iowa 50319. Information regarding the library can be found at </w:t>
      </w:r>
      <w:hyperlink r:id="rId15">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i w:val="false"/>
          <w:color w:val="000000"/>
          <w:sz w:val="16"/>
        </w:rPr>
        <w:t>ARC 9354C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7E.1 through 7E.5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11—1.5</w:t>
      </w:r>
      <w:r>
        <w:rPr>
          <w:rFonts w:ascii="Times New Roman" w:hAnsi="Times New Roman"/>
          <w:b w:val="false"/>
          <w:i w:val="false"/>
          <w:color w:val="000000"/>
          <w:sz w:val="22"/>
        </w:rPr>
        <w:t xml:space="preserve"> and </w:t>
      </w:r>
      <w:r>
        <w:rPr>
          <w:rFonts w:ascii="Times New Roman" w:hAnsi="Times New Roman"/>
          <w:b/>
          <w:i w:val="false"/>
          <w:color w:val="000000"/>
          <w:sz w:val="22"/>
        </w:rPr>
        <w:t>1.6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11—1.7</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8/16/06</w:t>
      </w:r>
      <w:r>
        <w:rPr>
          <w:rFonts w:ascii="Times New Roman" w:hAnsi="Times New Roman"/>
          <w:b w:val="false"/>
          <w:i w:val="false"/>
          <w:color w:val="000000"/>
          <w:sz w:val="22"/>
        </w:rPr>
        <w:t>, effective 9/20/06.</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emergency 10/20/04—published 11/10/04, effective 10/20/04]</w:t>
      </w:r>
    </w:p>
    <w:p>
      <w:pPr>
        <w:spacing w:before="0" w:after="0"/>
        <w:ind w:left="120"/>
        <w:jc w:val="center"/>
      </w:pPr>
      <w:r>
        <w:rPr>
          <w:rFonts w:ascii="Times New Roman" w:hAnsi="Times New Roman"/>
          <w:b w:val="false"/>
          <w:i w:val="false"/>
          <w:color w:val="000000"/>
          <w:sz w:val="21"/>
        </w:rPr>
        <w:t>[Filed emergency 2/1/05—published 3/2/05, effective 2/1/05]</w:t>
      </w:r>
    </w:p>
    <w:p>
      <w:pPr>
        <w:spacing w:before="0" w:after="0"/>
        <w:ind w:left="120"/>
        <w:jc w:val="center"/>
      </w:pPr>
      <w:r>
        <w:rPr>
          <w:rFonts w:ascii="Times New Roman" w:hAnsi="Times New Roman"/>
          <w:b w:val="false"/>
          <w:i w:val="false"/>
          <w:color w:val="000000"/>
          <w:sz w:val="21"/>
        </w:rPr>
        <w:t>[Filed 4/7/05, Notice 3/2/05—published 4/27/05, effective 6/1/05]</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9/22/05, Notice 7/6/05—published 10/12/05, effective 11/16/05]</w:t>
      </w:r>
    </w:p>
    <w:p>
      <w:pPr>
        <w:spacing w:before="0" w:after="0"/>
        <w:ind w:left="120"/>
        <w:jc w:val="center"/>
      </w:pPr>
      <w:r>
        <w:rPr>
          <w:rFonts w:ascii="Times New Roman" w:hAnsi="Times New Roman"/>
          <w:b w:val="false"/>
          <w:i w:val="false"/>
          <w:color w:val="000000"/>
          <w:sz w:val="21"/>
        </w:rPr>
        <w:t>[Filed without Notice 7/28/06—published 8/16/06, effective 9/20/06]</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9354C</w:t>
      </w:r>
      <w:r>
        <w:rPr>
          <w:rFonts w:ascii="Times New Roman" w:hAnsi="Times New Roman"/>
          <w:b w:val="false"/>
          <w:i w:val="false"/>
          <w:color w:val="000000"/>
          <w:sz w:val="21"/>
        </w:rPr>
        <w:t xml:space="preserve"> (Notice ARC 8674C, IAB 12/25/24)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das.iowa.gov" Type="http://schemas.openxmlformats.org/officeDocument/2006/relationships/hyperlink" Id="rId6"/>
    <Relationship TargetMode="External" Target="https://www.legis.iowa.gov/docs/ico/chapter/8A.pdf" Type="http://schemas.openxmlformats.org/officeDocument/2006/relationships/hyperlink" Id="rId7"/>
    <Relationship TargetMode="External" Target="https://www.legis.iowa.gov/docs/ico/chapter/19B.pdf" Type="http://schemas.openxmlformats.org/officeDocument/2006/relationships/hyperlink" Id="rId8"/>
    <Relationship TargetMode="External" Target="https://www.legis.iowa.gov/docs/ico/chapter/20.pdf" Type="http://schemas.openxmlformats.org/officeDocument/2006/relationships/hyperlink" Id="rId9"/>
    <Relationship TargetMode="External" Target="https://www.legis.iowa.gov/docs/ico/chapter/70A.pdf" Type="http://schemas.openxmlformats.org/officeDocument/2006/relationships/hyperlink" Id="rId10"/>
    <Relationship TargetMode="External" Target="https://www.legis.iowa.gov/docs/ico/chapter/509A.pdf" Type="http://schemas.openxmlformats.org/officeDocument/2006/relationships/hyperlink" Id="rId11"/>
    <Relationship TargetMode="External" Target="https://www.legis.iowa.gov/docs/ico/chapter/8A.302.pdf" Type="http://schemas.openxmlformats.org/officeDocument/2006/relationships/hyperlink" Id="rId12"/>
    <Relationship TargetMode="External" Target="https://www.legis.iowa.gov/docs/ico/chapter/8A.321.pdf" Type="http://schemas.openxmlformats.org/officeDocument/2006/relationships/hyperlink" Id="rId13"/>
    <Relationship TargetMode="External" Target="https://www.legis.iowa.gov/docs/ico/chapter/8A.pdf" Type="http://schemas.openxmlformats.org/officeDocument/2006/relationships/hyperlink" Id="rId14"/>
    <Relationship TargetMode="External" Target="http://statelibraryofiowa.gov" Type="http://schemas.openxmlformats.org/officeDocument/2006/relationships/hyperlink" Id="rId15"/>
    <Relationship TargetMode="External" Target="https://www.legis.iowa.gov/docs/ico/chapter/8A.pdf" Type="http://schemas.openxmlformats.org/officeDocument/2006/relationships/hyperlink" Id="rId16"/>
    <Relationship TargetMode="External" Target="https://www.legis.iowa.gov/docs/ico/chapter/7E.1-5.pdf" Type="http://schemas.openxmlformats.org/officeDocument/2006/relationships/hyperlink" Id="rId17"/>
    <Relationship TargetMode="External" Target="https://www.legis.iowa.gov/docs/ico/chapter/17A.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