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101—2.1</w:t>
      </w:r>
      <w:r>
        <w:rPr>
          <w:rFonts w:ascii="Times New Roman" w:hAnsi="Times New Roman"/>
          <w:b/>
          <w:i w:val="false"/>
          <w:color w:val="000000"/>
          <w:sz w:val="22"/>
        </w:rPr>
        <w:t xml:space="preserve">(181)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The public is invited to obtain information or make informal requests of the council by addressing these matters, either orally or in writing, to the Iowa Beef Industry Council, P.O. Box 451, Ames, Iowa 50010; or at 2055 Ironwood Court, Ames, Iowa 50014.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101—2.2</w:t>
      </w:r>
      <w:r>
        <w:rPr>
          <w:rFonts w:ascii="Times New Roman" w:hAnsi="Times New Roman"/>
          <w:b/>
          <w:i w:val="false"/>
          <w:color w:val="000000"/>
          <w:sz w:val="22"/>
        </w:rPr>
        <w:t xml:space="preserve">(181) </w:t>
      </w:r>
      <w:r>
        <w:rPr>
          <w:rFonts w:ascii="Times New Roman" w:hAnsi="Times New Roman"/>
          <w:b/>
          <w:i w:val="false"/>
          <w:color w:val="000000"/>
          <w:sz w:val="22"/>
        </w:rPr>
        <w:t xml:space="preserve">Informal settlement of controversies. </w:t>
      </w:r>
      <w:r>
        <w:rPr>
          <w:rFonts w:ascii="Times New Roman" w:hAnsi="Times New Roman"/>
          <w:b w:val="false"/>
          <w:i w:val="false"/>
          <w:color w:val="000000"/>
          <w:sz w:val="22"/>
        </w:rPr>
        <w:t>Every possible attempt will be made to handle all complaints and controversies, whether raised by the council or by members of the public, in an informal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In cases of a routine nature, the executive director or chair shall attempt to settle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In cases not of a routine nature, or in cases in which the efforts of the executive director or chair are unsuccessful, the council itself shall act to resolve the matter.</w:t>
      </w:r>
    </w:p>
    <w:p>
      <w:pPr>
        <w:spacing w:before="210" w:after="0"/>
        <w:ind w:left="120"/>
        <w:jc w:val="both"/>
      </w:pPr>
      <w:r>
        <w:rPr>
          <w:rFonts w:ascii="Times New Roman" w:hAnsi="Times New Roman"/>
          <w:b/>
          <w:i w:val="false"/>
          <w:color w:val="000000"/>
          <w:sz w:val="22"/>
        </w:rPr>
        <w:t>101—2.3</w:t>
      </w:r>
      <w:r>
        <w:rPr>
          <w:rFonts w:ascii="Times New Roman" w:hAnsi="Times New Roman"/>
          <w:b/>
          <w:i w:val="false"/>
          <w:color w:val="000000"/>
          <w:sz w:val="22"/>
        </w:rPr>
        <w:t xml:space="preserve">(181)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101—2.4</w:t>
      </w:r>
      <w:r>
        <w:rPr>
          <w:rFonts w:ascii="Times New Roman" w:hAnsi="Times New Roman"/>
          <w:b/>
          <w:i w:val="false"/>
          <w:color w:val="000000"/>
          <w:sz w:val="22"/>
        </w:rPr>
        <w:t xml:space="preserve">(181) </w:t>
      </w:r>
      <w:r>
        <w:rPr>
          <w:rFonts w:ascii="Times New Roman" w:hAnsi="Times New Roman"/>
          <w:b/>
          <w:i w:val="false"/>
          <w:color w:val="000000"/>
          <w:sz w:val="22"/>
        </w:rPr>
        <w:t xml:space="preserve">Petition for adoption of rules. </w:t>
      </w:r>
      <w:r>
        <w:rPr>
          <w:rFonts w:ascii="Times New Roman" w:hAnsi="Times New Roman"/>
          <w:b w:val="false"/>
          <w:i w:val="false"/>
          <w:color w:val="000000"/>
          <w:sz w:val="22"/>
        </w:rPr>
        <w:t>Rescinded by 2026 Iowa Acts, Senate File 2463, section 4, effective July 1, 2026.</w:t>
      </w:r>
    </w:p>
    <w:p>
      <w:pPr>
        <w:spacing w:before="0" w:after="0"/>
        <w:ind w:left="120"/>
        <w:jc w:val="center"/>
      </w:pPr>
      <w:r>
        <w:rPr>
          <w:rFonts w:ascii="Times New Roman" w:hAnsi="Times New Roman"/>
          <w:b w:val="false"/>
          <w:i w:val="false"/>
          <w:color w:val="000000"/>
          <w:sz w:val="21"/>
        </w:rPr>
        <w:t>[Filed 4/11/80, Notice 1/23/80—published 4/30/80, effective 6/4/80]</w:t>
      </w:r>
    </w:p>
    <w:p>
      <w:pPr>
        <w:spacing w:before="0" w:after="0"/>
        <w:ind w:left="120"/>
        <w:jc w:val="center"/>
      </w:pPr>
      <w:r>
        <w:rPr>
          <w:rFonts w:ascii="Times New Roman" w:hAnsi="Times New Roman"/>
          <w:b w:val="false"/>
          <w:i w:val="false"/>
          <w:color w:val="000000"/>
          <w:sz w:val="21"/>
        </w:rPr>
        <w:t>[Filed ARC 3082C</w:t>
      </w:r>
      <w:r>
        <w:rPr>
          <w:rFonts w:ascii="Times New Roman" w:hAnsi="Times New Roman"/>
          <w:b w:val="false"/>
          <w:i w:val="false"/>
          <w:color w:val="000000"/>
          <w:sz w:val="21"/>
        </w:rPr>
        <w:t xml:space="preserve"> (Notice ARC 2999C,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