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w:t>
      </w:r>
    </w:p>
    <w:p>
      <w:pPr>
        <w:spacing w:before="0" w:after="0"/>
        <w:ind w:left="120"/>
        <w:jc w:val="center"/>
      </w:pPr>
      <w:r>
        <w:rPr>
          <w:rFonts w:ascii="Times New Roman" w:hAnsi="Times New Roman"/>
          <w:b w:val="false"/>
          <w:i w:val="false"/>
          <w:color w:val="000000"/>
          <w:sz w:val="21"/>
        </w:rPr>
        <w:t>PUBLIC RECORDS AND FAIR INFORMATION PRACTICES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751—2.1</w:t>
      </w:r>
      <w:r>
        <w:rPr>
          <w:rFonts w:ascii="Times New Roman" w:hAnsi="Times New Roman"/>
          <w:b/>
          <w:i w:val="false"/>
          <w:color w:val="000000"/>
          <w:sz w:val="22"/>
        </w:rPr>
        <w:t xml:space="preserve">(17A,22) </w:t>
      </w:r>
      <w:r>
        <w:rPr>
          <w:rFonts w:ascii="Times New Roman" w:hAnsi="Times New Roman"/>
          <w:b/>
          <w:i w:val="false"/>
          <w:color w:val="000000"/>
          <w:sz w:val="22"/>
        </w:rPr>
        <w:t xml:space="preserve">Purpose and scope. </w:t>
      </w:r>
      <w:r>
        <w:rPr>
          <w:rFonts w:ascii="Times New Roman" w:hAnsi="Times New Roman"/>
          <w:b w:val="false"/>
          <w:i w:val="false"/>
          <w:color w:val="000000"/>
          <w:sz w:val="22"/>
        </w:rPr>
        <w:t xml:space="preserve">Rescinded by 2026 Iowa Acts, Senate File 2463, section 4, effective July 1, 2026. </w:t>
      </w:r>
    </w:p>
    <w:p>
      <w:pPr>
        <w:spacing w:before="0" w:after="0"/>
        <w:ind w:left="120"/>
        <w:jc w:val="both"/>
      </w:pPr>
      <w:r>
        <w:rPr>
          <w:rFonts w:ascii="Times New Roman" w:hAnsi="Times New Roman"/>
          <w:b/>
          <w:i w:val="false"/>
          <w:color w:val="000000"/>
          <w:sz w:val="22"/>
        </w:rPr>
        <w:t>751—2.2</w:t>
      </w:r>
      <w:r>
        <w:rPr>
          <w:rFonts w:ascii="Times New Roman" w:hAnsi="Times New Roman"/>
          <w:b/>
          <w:i w:val="false"/>
          <w:color w:val="000000"/>
          <w:sz w:val="22"/>
        </w:rPr>
        <w:t xml:space="preserve">(17A,22)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“Commission”</w:t>
      </w:r>
      <w:r>
        <w:rPr>
          <w:rFonts w:ascii="Times New Roman" w:hAnsi="Times New Roman"/>
          <w:b w:val="false"/>
          <w:i w:val="false"/>
          <w:color w:val="000000"/>
          <w:sz w:val="22"/>
        </w:rPr>
        <w:t> </w:t>
      </w:r>
      <w:r>
        <w:rPr>
          <w:rFonts w:ascii="Times New Roman" w:hAnsi="Times New Roman"/>
          <w:b w:val="false"/>
          <w:i w:val="false"/>
          <w:color w:val="000000"/>
          <w:sz w:val="22"/>
        </w:rPr>
        <w:t>means the Iowa telecommunications and technology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“Confidential record”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record which is not available as a matter of right for examination and copying by members of the public under applicable provisions of law. Confidential records include records or information contained in records that the commission is prohibited by law from making available for examination by members of the public, and records or information contained in records that are specified as confidential by Iowa Code section </w:t>
      </w:r>
      <w:hyperlink r:id="rId5">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or other provision of law, but that may be disclosed upon order of a court, the lawful custodian of the record, or by another person duly authorized to release the record. Mere inclusion in a record of information declared confidential by an applicable provision of law does not necessarily make that entire record a confidential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“Custodian”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commission or a person lawfully delegated authority by its executive director to act for the commission in implementing Iowa Code chapter </w:t>
      </w:r>
      <w:hyperlink r:id="rId6">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“Open record”</w:t>
      </w:r>
      <w:r>
        <w:rPr>
          <w:rFonts w:ascii="Times New Roman" w:hAnsi="Times New Roman"/>
          <w:b w:val="false"/>
          <w:i w:val="false"/>
          <w:color w:val="000000"/>
          <w:sz w:val="22"/>
        </w:rPr>
        <w:t> </w:t>
      </w:r>
      <w:r>
        <w:rPr>
          <w:rFonts w:ascii="Times New Roman" w:hAnsi="Times New Roman"/>
          <w:b w:val="false"/>
          <w:i w:val="false"/>
          <w:color w:val="000000"/>
          <w:sz w:val="22"/>
        </w:rPr>
        <w:t>means a record other than a confidential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“Personally identifiable information”</w:t>
      </w:r>
      <w:r>
        <w:rPr>
          <w:rFonts w:ascii="Times New Roman" w:hAnsi="Times New Roman"/>
          <w:b w:val="false"/>
          <w:i w:val="false"/>
          <w:color w:val="000000"/>
          <w:sz w:val="22"/>
        </w:rPr>
        <w:t> </w:t>
      </w:r>
      <w:r>
        <w:rPr>
          <w:rFonts w:ascii="Times New Roman" w:hAnsi="Times New Roman"/>
          <w:b w:val="false"/>
          <w:i w:val="false"/>
          <w:color w:val="000000"/>
          <w:sz w:val="22"/>
        </w:rPr>
        <w:t>means information about or pertaining to an individual in a record which identifies the individual and which is contained in a record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“Record”</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these rules means the whole or a part of a “public record” as defined in Iowa Code section </w:t>
      </w:r>
      <w:hyperlink r:id="rId7">
        <w:r>
          <w:rPr>
            <w:rStyle w:val="Hyperlink"/>
            <w:rFonts w:ascii="Times New Roman" w:hAnsi="Times New Roman"/>
            <w:b w:val="false"/>
            <w:i w:val="false"/>
            <w:color w:val="000000"/>
            <w:sz w:val="22"/>
          </w:rPr>
          <w:t>22.1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“Record system”</w:t>
      </w:r>
      <w:r>
        <w:rPr>
          <w:rFonts w:ascii="Times New Roman" w:hAnsi="Times New Roman"/>
          <w:b w:val="false"/>
          <w:i w:val="false"/>
          <w:color w:val="000000"/>
          <w:sz w:val="22"/>
        </w:rPr>
        <w:t> </w:t>
      </w:r>
      <w:r>
        <w:rPr>
          <w:rFonts w:ascii="Times New Roman" w:hAnsi="Times New Roman"/>
          <w:b w:val="false"/>
          <w:i w:val="false"/>
          <w:color w:val="000000"/>
          <w:sz w:val="22"/>
        </w:rPr>
        <w:t>means any group of records under the control of the commission from which a record may be retrieved by a personal identifier such as the name of an individual, number, symbol or other unique retriever assigned to an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“Subject”</w:t>
      </w:r>
      <w:r>
        <w:rPr>
          <w:rFonts w:ascii="Times New Roman" w:hAnsi="Times New Roman"/>
          <w:b w:val="false"/>
          <w:i w:val="false"/>
          <w:color w:val="000000"/>
          <w:sz w:val="22"/>
        </w:rPr>
        <w:t> </w:t>
      </w:r>
      <w:r>
        <w:rPr>
          <w:rFonts w:ascii="Times New Roman" w:hAnsi="Times New Roman"/>
          <w:b w:val="false"/>
          <w:i w:val="false"/>
          <w:color w:val="000000"/>
          <w:sz w:val="22"/>
        </w:rPr>
        <w:t>means that person identified in a record.</w:t>
      </w:r>
    </w:p>
    <w:p>
      <w:pPr>
        <w:spacing w:before="210" w:after="0"/>
        <w:ind w:left="120"/>
        <w:jc w:val="both"/>
      </w:pPr>
      <w:r>
        <w:rPr>
          <w:rFonts w:ascii="Times New Roman" w:hAnsi="Times New Roman"/>
          <w:b/>
          <w:i w:val="false"/>
          <w:color w:val="000000"/>
          <w:sz w:val="22"/>
        </w:rPr>
        <w:t>751—2.3</w:t>
      </w:r>
      <w:r>
        <w:rPr>
          <w:rFonts w:ascii="Times New Roman" w:hAnsi="Times New Roman"/>
          <w:b/>
          <w:i w:val="false"/>
          <w:color w:val="000000"/>
          <w:sz w:val="22"/>
        </w:rPr>
        <w:t xml:space="preserve">(17A,22) </w:t>
      </w:r>
      <w:r>
        <w:rPr>
          <w:rFonts w:ascii="Times New Roman" w:hAnsi="Times New Roman"/>
          <w:b/>
          <w:i w:val="false"/>
          <w:color w:val="000000"/>
          <w:sz w:val="22"/>
        </w:rPr>
        <w:t xml:space="preserve">Requests for access to records.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751—2.4</w:t>
      </w:r>
      <w:r>
        <w:rPr>
          <w:rFonts w:ascii="Times New Roman" w:hAnsi="Times New Roman"/>
          <w:b/>
          <w:i w:val="false"/>
          <w:color w:val="000000"/>
          <w:sz w:val="22"/>
        </w:rPr>
        <w:t xml:space="preserve">(17A,22) </w:t>
      </w:r>
      <w:r>
        <w:rPr>
          <w:rFonts w:ascii="Times New Roman" w:hAnsi="Times New Roman"/>
          <w:b/>
          <w:i w:val="false"/>
          <w:color w:val="000000"/>
          <w:sz w:val="22"/>
        </w:rPr>
        <w:t xml:space="preserve">Access to confidential records.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751—2.5</w:t>
      </w:r>
      <w:r>
        <w:rPr>
          <w:rFonts w:ascii="Times New Roman" w:hAnsi="Times New Roman"/>
          <w:b/>
          <w:i w:val="false"/>
          <w:color w:val="000000"/>
          <w:sz w:val="22"/>
        </w:rPr>
        <w:t xml:space="preserve">(17A,22) </w:t>
      </w:r>
      <w:r>
        <w:rPr>
          <w:rFonts w:ascii="Times New Roman" w:hAnsi="Times New Roman"/>
          <w:b/>
          <w:i w:val="false"/>
          <w:color w:val="000000"/>
          <w:sz w:val="22"/>
        </w:rPr>
        <w:t xml:space="preserve">Requests for treatment of a record as a confidential record and its withholding from examination.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751—2.6</w:t>
      </w:r>
      <w:r>
        <w:rPr>
          <w:rFonts w:ascii="Times New Roman" w:hAnsi="Times New Roman"/>
          <w:b/>
          <w:i w:val="false"/>
          <w:color w:val="000000"/>
          <w:sz w:val="22"/>
        </w:rPr>
        <w:t xml:space="preserve">(17A,22) </w:t>
      </w:r>
      <w:r>
        <w:rPr>
          <w:rFonts w:ascii="Times New Roman" w:hAnsi="Times New Roman"/>
          <w:b/>
          <w:i w:val="false"/>
          <w:color w:val="000000"/>
          <w:sz w:val="22"/>
        </w:rPr>
        <w:t xml:space="preserve">Procedure by which additions, dissents or objections may be entered into certain records.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751—2.7</w:t>
      </w:r>
      <w:r>
        <w:rPr>
          <w:rFonts w:ascii="Times New Roman" w:hAnsi="Times New Roman"/>
          <w:b/>
          <w:i w:val="false"/>
          <w:color w:val="000000"/>
          <w:sz w:val="22"/>
        </w:rPr>
        <w:t xml:space="preserve">(17A,22) </w:t>
      </w:r>
      <w:r>
        <w:rPr>
          <w:rFonts w:ascii="Times New Roman" w:hAnsi="Times New Roman"/>
          <w:b/>
          <w:i w:val="false"/>
          <w:color w:val="000000"/>
          <w:sz w:val="22"/>
        </w:rPr>
        <w:t xml:space="preserve">Consent to disclosure by the subject of a confidential record.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751—2.8</w:t>
      </w:r>
      <w:r>
        <w:rPr>
          <w:rFonts w:ascii="Times New Roman" w:hAnsi="Times New Roman"/>
          <w:b/>
          <w:i w:val="false"/>
          <w:color w:val="000000"/>
          <w:sz w:val="22"/>
        </w:rPr>
        <w:t xml:space="preserve">(17A,22) </w:t>
      </w:r>
      <w:r>
        <w:rPr>
          <w:rFonts w:ascii="Times New Roman" w:hAnsi="Times New Roman"/>
          <w:b/>
          <w:i w:val="false"/>
          <w:color w:val="000000"/>
          <w:sz w:val="22"/>
        </w:rPr>
        <w:t xml:space="preserve">Notice to suppliers of information.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751—2.9</w:t>
      </w:r>
      <w:r>
        <w:rPr>
          <w:rFonts w:ascii="Times New Roman" w:hAnsi="Times New Roman"/>
          <w:b/>
          <w:i w:val="false"/>
          <w:color w:val="000000"/>
          <w:sz w:val="22"/>
        </w:rPr>
        <w:t xml:space="preserve">(17A,22) </w:t>
      </w:r>
      <w:r>
        <w:rPr>
          <w:rFonts w:ascii="Times New Roman" w:hAnsi="Times New Roman"/>
          <w:b/>
          <w:i w:val="false"/>
          <w:color w:val="000000"/>
          <w:sz w:val="22"/>
        </w:rPr>
        <w:t xml:space="preserve">Disclosures without the consent of the subject.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751—2.10</w:t>
      </w:r>
      <w:r>
        <w:rPr>
          <w:rFonts w:ascii="Times New Roman" w:hAnsi="Times New Roman"/>
          <w:b/>
          <w:i w:val="false"/>
          <w:color w:val="000000"/>
          <w:sz w:val="22"/>
        </w:rPr>
        <w:t xml:space="preserve">(17A,22) </w:t>
      </w:r>
      <w:r>
        <w:rPr>
          <w:rFonts w:ascii="Times New Roman" w:hAnsi="Times New Roman"/>
          <w:b/>
          <w:i w:val="false"/>
          <w:color w:val="000000"/>
          <w:sz w:val="22"/>
        </w:rPr>
        <w:t xml:space="preserve">Routine use.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751—2.11</w:t>
      </w:r>
      <w:r>
        <w:rPr>
          <w:rFonts w:ascii="Times New Roman" w:hAnsi="Times New Roman"/>
          <w:b/>
          <w:i w:val="false"/>
          <w:color w:val="000000"/>
          <w:sz w:val="22"/>
        </w:rPr>
        <w:t xml:space="preserve">(17A,22) </w:t>
      </w:r>
      <w:r>
        <w:rPr>
          <w:rFonts w:ascii="Times New Roman" w:hAnsi="Times New Roman"/>
          <w:b/>
          <w:i w:val="false"/>
          <w:color w:val="000000"/>
          <w:sz w:val="22"/>
        </w:rPr>
        <w:t xml:space="preserve">Consensual disclosure of confidential records.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751—2.12</w:t>
      </w:r>
      <w:r>
        <w:rPr>
          <w:rFonts w:ascii="Times New Roman" w:hAnsi="Times New Roman"/>
          <w:b/>
          <w:i w:val="false"/>
          <w:color w:val="000000"/>
          <w:sz w:val="22"/>
        </w:rPr>
        <w:t xml:space="preserve">(17A,22) </w:t>
      </w:r>
      <w:r>
        <w:rPr>
          <w:rFonts w:ascii="Times New Roman" w:hAnsi="Times New Roman"/>
          <w:b/>
          <w:i w:val="false"/>
          <w:color w:val="000000"/>
          <w:sz w:val="22"/>
        </w:rPr>
        <w:t xml:space="preserve">Release to subject. </w:t>
      </w:r>
      <w:r>
        <w:rPr>
          <w:rFonts w:ascii="Times New Roman" w:hAnsi="Times New Roman"/>
          <w:b w:val="false"/>
          <w:i w:val="false"/>
          <w:color w:val="000000"/>
          <w:sz w:val="22"/>
        </w:rPr>
        <w:t xml:space="preserve">Rescinded by 2026 Iowa Acts, Senate File 2463, section 4, effective July 1, 2026. </w:t>
      </w:r>
    </w:p>
    <w:p>
      <w:pPr>
        <w:spacing w:before="210" w:after="0"/>
        <w:ind w:left="120"/>
        <w:jc w:val="both"/>
      </w:pPr>
      <w:r>
        <w:rPr>
          <w:rFonts w:ascii="Times New Roman" w:hAnsi="Times New Roman"/>
          <w:b/>
          <w:i w:val="false"/>
          <w:color w:val="000000"/>
          <w:sz w:val="22"/>
        </w:rPr>
        <w:t>751—2.13</w:t>
      </w:r>
      <w:r>
        <w:rPr>
          <w:rFonts w:ascii="Times New Roman" w:hAnsi="Times New Roman"/>
          <w:b/>
          <w:i w:val="false"/>
          <w:color w:val="000000"/>
          <w:sz w:val="22"/>
        </w:rPr>
        <w:t xml:space="preserve">(17A,22) </w:t>
      </w:r>
      <w:r>
        <w:rPr>
          <w:rFonts w:ascii="Times New Roman" w:hAnsi="Times New Roman"/>
          <w:b/>
          <w:i w:val="false"/>
          <w:color w:val="000000"/>
          <w:sz w:val="22"/>
        </w:rPr>
        <w:t xml:space="preserve">Availability of records. </w:t>
      </w:r>
      <w:r>
        <w:rPr>
          <w:rFonts w:ascii="Times New Roman" w:hAnsi="Times New Roman"/>
          <w:b w:val="false"/>
          <w:i w:val="false"/>
          <w:color w:val="000000"/>
          <w:sz w:val="22"/>
        </w:rPr>
        <w:t>Rescinded by 2026 Iowa Acts, Senate File 2463, section 4, effective July 1, 2026.</w:t>
      </w:r>
    </w:p>
    <w:p>
      <w:pPr>
        <w:spacing w:before="0" w:after="0"/>
        <w:ind w:left="120"/>
        <w:jc w:val="both"/>
      </w:pPr>
      <w:r>
        <w:rPr>
          <w:rFonts w:ascii="Times New Roman" w:hAnsi="Times New Roman"/>
          <w:b/>
          <w:i w:val="false"/>
          <w:color w:val="000000"/>
          <w:sz w:val="22"/>
        </w:rPr>
        <w:t>751—2.14</w:t>
      </w:r>
      <w:r>
        <w:rPr>
          <w:rFonts w:ascii="Times New Roman" w:hAnsi="Times New Roman"/>
          <w:b/>
          <w:i w:val="false"/>
          <w:color w:val="000000"/>
          <w:sz w:val="22"/>
        </w:rPr>
        <w:t xml:space="preserve">(17A,22) </w:t>
      </w:r>
      <w:r>
        <w:rPr>
          <w:rFonts w:ascii="Times New Roman" w:hAnsi="Times New Roman"/>
          <w:b/>
          <w:i w:val="false"/>
          <w:color w:val="000000"/>
          <w:sz w:val="22"/>
        </w:rPr>
        <w:t xml:space="preserve">Personally identifiable information. </w:t>
      </w:r>
      <w:r>
        <w:rPr>
          <w:rFonts w:ascii="Times New Roman" w:hAnsi="Times New Roman"/>
          <w:b w:val="false"/>
          <w:i w:val="false"/>
          <w:color w:val="000000"/>
          <w:sz w:val="22"/>
        </w:rPr>
        <w:t xml:space="preserve">This rule describes the nature and extent of personally identifiable information which is collected, maintained, and retrieved by the commission by personal identifier in record systems as defined in rule </w:t>
      </w:r>
      <w:hyperlink r:id="rId8">
        <w:r>
          <w:rPr>
            <w:rStyle w:val="Hyperlink"/>
            <w:rFonts w:ascii="Times New Roman" w:hAnsi="Times New Roman"/>
            <w:b w:val="false"/>
            <w:i w:val="false"/>
            <w:color w:val="000000"/>
            <w:sz w:val="22"/>
          </w:rPr>
          <w:t>751—2.2</w:t>
        </w:r>
      </w:hyperlink>
      <w:r>
        <w:rPr>
          <w:rFonts w:ascii="Times New Roman" w:hAnsi="Times New Roman"/>
          <w:b w:val="false"/>
          <w:i w:val="false"/>
          <w:color w:val="000000"/>
          <w:sz w:val="22"/>
        </w:rPr>
        <w:t>(17A,22). For each record system, this rule describes the legal authority for the collection of that information and the means of storage of that information and indicates whether a data processing system matches, collates, or permits the comparison of personally identifiable information in one record system with personally identifiable information in another record system. The record systems maintained by the commission 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2.14(1)</w:t>
      </w:r>
      <w:r>
        <w:rPr>
          <w:rFonts w:ascii="Times New Roman" w:hAnsi="Times New Roman"/>
          <w:b w:val="false"/>
          <w:i w:val="false"/>
          <w:color w:val="000000"/>
          <w:sz w:val="22"/>
        </w:rPr>
        <w:t> </w:t>
      </w:r>
      <w:r>
        <w:rPr>
          <w:rFonts w:ascii="Times New Roman" w:hAnsi="Times New Roman"/>
          <w:b w:val="false"/>
          <w:i w:val="false"/>
          <w:color w:val="000000"/>
          <w:sz w:val="22"/>
        </w:rPr>
        <w:t>Payroll and personnel information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2.14(2)</w:t>
      </w:r>
      <w:r>
        <w:rPr>
          <w:rFonts w:ascii="Times New Roman" w:hAnsi="Times New Roman"/>
          <w:b w:val="false"/>
          <w:i w:val="false"/>
          <w:color w:val="000000"/>
          <w:sz w:val="22"/>
        </w:rPr>
        <w:t> </w:t>
      </w:r>
      <w:r>
        <w:rPr>
          <w:rFonts w:ascii="Times New Roman" w:hAnsi="Times New Roman"/>
          <w:b w:val="false"/>
          <w:i w:val="false"/>
          <w:color w:val="000000"/>
          <w:sz w:val="22"/>
        </w:rPr>
        <w:t>Vendor files.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2.14(3)</w:t>
      </w:r>
      <w:r>
        <w:rPr>
          <w:rFonts w:ascii="Times New Roman" w:hAnsi="Times New Roman"/>
          <w:b w:val="false"/>
          <w:i w:val="false"/>
          <w:color w:val="000000"/>
          <w:sz w:val="22"/>
        </w:rPr>
        <w:t> </w:t>
      </w:r>
      <w:r>
        <w:rPr>
          <w:rFonts w:ascii="Times New Roman" w:hAnsi="Times New Roman"/>
          <w:b w:val="false"/>
          <w:i w:val="false"/>
          <w:color w:val="000000"/>
          <w:sz w:val="22"/>
        </w:rPr>
        <w:t>Certificates of insurance for contractors performing work for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2.14(4)</w:t>
      </w:r>
      <w:r>
        <w:rPr>
          <w:rFonts w:ascii="Times New Roman" w:hAnsi="Times New Roman"/>
          <w:b w:val="false"/>
          <w:i w:val="false"/>
          <w:color w:val="000000"/>
          <w:sz w:val="22"/>
        </w:rPr>
        <w:t> </w:t>
      </w:r>
      <w:r>
        <w:rPr>
          <w:rFonts w:ascii="Times New Roman" w:hAnsi="Times New Roman"/>
          <w:b w:val="false"/>
          <w:i w:val="false"/>
          <w:color w:val="000000"/>
          <w:sz w:val="22"/>
        </w:rPr>
        <w:t>Referrals to the attorney general.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2.14(5)</w:t>
      </w:r>
      <w:r>
        <w:rPr>
          <w:rFonts w:ascii="Times New Roman" w:hAnsi="Times New Roman"/>
          <w:b w:val="false"/>
          <w:i w:val="false"/>
          <w:color w:val="000000"/>
          <w:sz w:val="22"/>
        </w:rPr>
        <w:t> </w:t>
      </w:r>
      <w:r>
        <w:rPr>
          <w:rFonts w:ascii="Times New Roman" w:hAnsi="Times New Roman"/>
          <w:b w:val="false"/>
          <w:i w:val="false"/>
          <w:color w:val="000000"/>
          <w:sz w:val="22"/>
        </w:rPr>
        <w:t>Contract and lease files.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2.14(6)</w:t>
      </w:r>
      <w:r>
        <w:rPr>
          <w:rFonts w:ascii="Times New Roman" w:hAnsi="Times New Roman"/>
          <w:b w:val="false"/>
          <w:i w:val="false"/>
          <w:color w:val="000000"/>
          <w:sz w:val="22"/>
        </w:rPr>
        <w:t> </w:t>
      </w:r>
      <w:r>
        <w:rPr>
          <w:rFonts w:ascii="Times New Roman" w:hAnsi="Times New Roman"/>
          <w:b w:val="false"/>
          <w:i w:val="false"/>
          <w:color w:val="000000"/>
          <w:sz w:val="22"/>
        </w:rPr>
        <w:t>Accounts receivable and accounts payable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2.14(7)</w:t>
      </w:r>
      <w:r>
        <w:rPr>
          <w:rFonts w:ascii="Times New Roman" w:hAnsi="Times New Roman"/>
          <w:b w:val="false"/>
          <w:i w:val="false"/>
          <w:color w:val="000000"/>
          <w:sz w:val="22"/>
        </w:rPr>
        <w:t> </w:t>
      </w:r>
      <w:r>
        <w:rPr>
          <w:rFonts w:ascii="Times New Roman" w:hAnsi="Times New Roman"/>
          <w:b w:val="false"/>
          <w:i w:val="false"/>
          <w:color w:val="000000"/>
          <w:sz w:val="22"/>
        </w:rPr>
        <w:t>Various grant planning files, confidential trade secrets, litigation files.</w:t>
      </w:r>
    </w:p>
    <w:p>
      <w:pPr>
        <w:spacing w:before="0" w:after="0"/>
        <w:ind w:left="120"/>
        <w:jc w:val="both"/>
      </w:pPr>
      <w:r>
        <w:rPr>
          <w:rFonts w:ascii="Times New Roman" w:hAnsi="Times New Roman"/>
          <w:b w:val="false"/>
          <w:i w:val="false"/>
          <w:color w:val="000000"/>
          <w:sz w:val="22"/>
        </w:rPr>
        <w:t xml:space="preserve">All of the above-listed records are collected pursuant to the authority of Iowa Code Supplement chapter </w:t>
      </w:r>
      <w:hyperlink r:id="rId9">
        <w:r>
          <w:rPr>
            <w:rStyle w:val="Hyperlink"/>
            <w:rFonts w:ascii="Times New Roman" w:hAnsi="Times New Roman"/>
            <w:b w:val="false"/>
            <w:i w:val="false"/>
            <w:color w:val="000000"/>
            <w:sz w:val="22"/>
          </w:rPr>
          <w:t>8D</w:t>
        </w:r>
      </w:hyperlink>
      <w:r>
        <w:rPr>
          <w:rFonts w:ascii="Times New Roman" w:hAnsi="Times New Roman"/>
          <w:b w:val="false"/>
          <w:i w:val="false"/>
          <w:color w:val="000000"/>
          <w:sz w:val="22"/>
        </w:rPr>
        <w:t>. All are stored in paper form with those items noted by an asterisk (*) also stored in electronic form. Supplementary records in these categories are stored in paper form or on microfilm or microfiche. None of the information stored can be matched, collated or compared.</w:t>
      </w:r>
    </w:p>
    <w:p>
      <w:pPr>
        <w:spacing w:before="0" w:after="0"/>
        <w:ind w:left="120"/>
        <w:jc w:val="both"/>
      </w:pPr>
      <w:r>
        <w:rPr>
          <w:rFonts w:ascii="Times New Roman" w:hAnsi="Times New Roman"/>
          <w:b/>
          <w:i w:val="false"/>
          <w:color w:val="000000"/>
          <w:sz w:val="22"/>
        </w:rPr>
        <w:t>751—2.15</w:t>
      </w:r>
      <w:r>
        <w:rPr>
          <w:rFonts w:ascii="Times New Roman" w:hAnsi="Times New Roman"/>
          <w:b/>
          <w:i w:val="false"/>
          <w:color w:val="000000"/>
          <w:sz w:val="22"/>
        </w:rPr>
        <w:t xml:space="preserve">(17A,22) </w:t>
      </w:r>
      <w:r>
        <w:rPr>
          <w:rFonts w:ascii="Times New Roman" w:hAnsi="Times New Roman"/>
          <w:b/>
          <w:i w:val="false"/>
          <w:color w:val="000000"/>
          <w:sz w:val="22"/>
        </w:rPr>
        <w:t xml:space="preserve">Other groups of records. </w:t>
      </w:r>
      <w:r>
        <w:rPr>
          <w:rFonts w:ascii="Times New Roman" w:hAnsi="Times New Roman"/>
          <w:b w:val="false"/>
          <w:i w:val="false"/>
          <w:color w:val="000000"/>
          <w:sz w:val="22"/>
        </w:rPr>
        <w:t xml:space="preserve">This rule describes groups of records maintained by the commission other than record systems as defined in rule </w:t>
      </w:r>
      <w:hyperlink r:id="rId10">
        <w:r>
          <w:rPr>
            <w:rStyle w:val="Hyperlink"/>
            <w:rFonts w:ascii="Times New Roman" w:hAnsi="Times New Roman"/>
            <w:b w:val="false"/>
            <w:i w:val="false"/>
            <w:color w:val="000000"/>
            <w:sz w:val="22"/>
          </w:rPr>
          <w:t>751—2.2</w:t>
        </w:r>
      </w:hyperlink>
      <w:r>
        <w:rPr>
          <w:rFonts w:ascii="Times New Roman" w:hAnsi="Times New Roman"/>
          <w:b w:val="false"/>
          <w:i w:val="false"/>
          <w:color w:val="000000"/>
          <w:sz w:val="22"/>
        </w:rPr>
        <w:t xml:space="preserve">(17A,22). These records are routinely available to the public. However, the commission’s files of these records may contain confidential information designated as confidential by the originator of the records in conformance with Iowa Code chapter </w:t>
      </w:r>
      <w:hyperlink r:id="rId11">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In addition, some records may contain information about individuals. All storage is in paper form with those items noted by an asterisk (*) also stored in electronic form. None of the information can be matched, collated or compared.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2.15(1)</w:t>
      </w:r>
      <w:r>
        <w:rPr>
          <w:rFonts w:ascii="Times New Roman" w:hAnsi="Times New Roman"/>
          <w:b w:val="false"/>
          <w:i w:val="false"/>
          <w:color w:val="000000"/>
          <w:sz w:val="22"/>
        </w:rPr>
        <w:t> </w:t>
      </w:r>
      <w:r>
        <w:rPr>
          <w:rFonts w:ascii="Times New Roman" w:hAnsi="Times New Roman"/>
          <w:b w:val="false"/>
          <w:i/>
          <w:color w:val="000000"/>
          <w:sz w:val="22"/>
        </w:rPr>
        <w:t xml:space="preserve">Rule making. </w:t>
      </w:r>
      <w:r>
        <w:rPr>
          <w:rFonts w:ascii="Times New Roman" w:hAnsi="Times New Roman"/>
          <w:b w:val="false"/>
          <w:i w:val="false"/>
          <w:color w:val="000000"/>
          <w:sz w:val="22"/>
        </w:rPr>
        <w:t xml:space="preserve">Rule-making records may contain information about individuals making written or oral comments on proposed rules. This information is collected pursuant to Iowa Code section </w:t>
      </w:r>
      <w:hyperlink r:id="rId12">
        <w:r>
          <w:rPr>
            <w:rStyle w:val="Hyperlink"/>
            <w:rFonts w:ascii="Times New Roman" w:hAnsi="Times New Roman"/>
            <w:b w:val="false"/>
            <w:i w:val="false"/>
            <w:color w:val="000000"/>
            <w:sz w:val="22"/>
          </w:rPr>
          <w:t>17A.4</w:t>
        </w:r>
      </w:hyperlink>
      <w:r>
        <w:rPr>
          <w:rFonts w:ascii="Times New Roman" w:hAnsi="Times New Roman"/>
          <w:b w:val="false"/>
          <w:i w:val="false"/>
          <w:color w:val="000000"/>
          <w:sz w:val="22"/>
        </w:rPr>
        <w:t>. This information is not stored in an automated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2.15(2)</w:t>
      </w:r>
      <w:r>
        <w:rPr>
          <w:rFonts w:ascii="Times New Roman" w:hAnsi="Times New Roman"/>
          <w:b w:val="false"/>
          <w:i w:val="false"/>
          <w:color w:val="000000"/>
          <w:sz w:val="22"/>
        </w:rPr>
        <w:t> </w:t>
      </w:r>
      <w:r>
        <w:rPr>
          <w:rFonts w:ascii="Times New Roman" w:hAnsi="Times New Roman"/>
          <w:b w:val="false"/>
          <w:i/>
          <w:color w:val="000000"/>
          <w:sz w:val="22"/>
        </w:rPr>
        <w:t xml:space="preserve">Commission records. </w:t>
      </w:r>
      <w:r>
        <w:rPr>
          <w:rFonts w:ascii="Times New Roman" w:hAnsi="Times New Roman"/>
          <w:b w:val="false"/>
          <w:i w:val="false"/>
          <w:color w:val="000000"/>
          <w:sz w:val="22"/>
        </w:rPr>
        <w:t xml:space="preserve">Agendas, minutes and materials presented to the commission are available from the office of the executive director, except these records concerning closed sessions which are confidential under Iowa Code section </w:t>
      </w:r>
      <w:hyperlink r:id="rId13">
        <w:r>
          <w:rPr>
            <w:rStyle w:val="Hyperlink"/>
            <w:rFonts w:ascii="Times New Roman" w:hAnsi="Times New Roman"/>
            <w:b w:val="false"/>
            <w:i w:val="false"/>
            <w:color w:val="000000"/>
            <w:sz w:val="22"/>
          </w:rPr>
          <w:t>21.5</w:t>
        </w:r>
      </w:hyperlink>
      <w:r>
        <w:rPr>
          <w:rFonts w:ascii="Times New Roman" w:hAnsi="Times New Roman"/>
          <w:b w:val="false"/>
          <w:i w:val="false"/>
          <w:color w:val="000000"/>
          <w:sz w:val="22"/>
        </w:rPr>
        <w:t xml:space="preserve"> or which are otherwise confidential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2.15(3)</w:t>
      </w:r>
      <w:r>
        <w:rPr>
          <w:rFonts w:ascii="Times New Roman" w:hAnsi="Times New Roman"/>
          <w:b w:val="false"/>
          <w:i w:val="false"/>
          <w:color w:val="000000"/>
          <w:sz w:val="22"/>
        </w:rPr>
        <w:t> </w:t>
      </w:r>
      <w:r>
        <w:rPr>
          <w:rFonts w:ascii="Times New Roman" w:hAnsi="Times New Roman"/>
          <w:b w:val="false"/>
          <w:i/>
          <w:color w:val="000000"/>
          <w:sz w:val="22"/>
        </w:rPr>
        <w:t xml:space="preserve">Meeting participants. </w:t>
      </w:r>
      <w:r>
        <w:rPr>
          <w:rFonts w:ascii="Times New Roman" w:hAnsi="Times New Roman"/>
          <w:b w:val="false"/>
          <w:i w:val="false"/>
          <w:color w:val="000000"/>
          <w:sz w:val="22"/>
        </w:rPr>
        <w:t xml:space="preserve">Commission records contain information about people who participate in meetings. This information is collected pursuant to Iowa Code section </w:t>
      </w:r>
      <w:hyperlink r:id="rId14">
        <w:r>
          <w:rPr>
            <w:rStyle w:val="Hyperlink"/>
            <w:rFonts w:ascii="Times New Roman" w:hAnsi="Times New Roman"/>
            <w:b w:val="false"/>
            <w:i w:val="false"/>
            <w:color w:val="000000"/>
            <w:sz w:val="22"/>
          </w:rPr>
          <w:t>21.3</w:t>
        </w:r>
      </w:hyperlink>
      <w:r>
        <w:rPr>
          <w:rFonts w:ascii="Times New Roman" w:hAnsi="Times New Roman"/>
          <w:b w:val="false"/>
          <w:i w:val="false"/>
          <w:color w:val="000000"/>
          <w:sz w:val="22"/>
        </w:rPr>
        <w:t>. This information is not stored in an automated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2.15(4)</w:t>
      </w:r>
      <w:r>
        <w:rPr>
          <w:rFonts w:ascii="Times New Roman" w:hAnsi="Times New Roman"/>
          <w:b w:val="false"/>
          <w:i w:val="false"/>
          <w:color w:val="000000"/>
          <w:sz w:val="22"/>
        </w:rPr>
        <w:t> </w:t>
      </w:r>
      <w:r>
        <w:rPr>
          <w:rFonts w:ascii="Times New Roman" w:hAnsi="Times New Roman"/>
          <w:b w:val="false"/>
          <w:i/>
          <w:color w:val="000000"/>
          <w:sz w:val="22"/>
        </w:rPr>
        <w:t xml:space="preserve">Publications. </w:t>
      </w:r>
      <w:r>
        <w:rPr>
          <w:rFonts w:ascii="Times New Roman" w:hAnsi="Times New Roman"/>
          <w:b w:val="false"/>
          <w:i w:val="false"/>
          <w:color w:val="000000"/>
          <w:sz w:val="22"/>
        </w:rPr>
        <w:t>News releases, annual reports, project reports, and commission newsletters, for example, are available from the commission offices for public information. Commission news releases, project reports, and newsletters may contain information about individuals, including commission staff or members of the commission, the councils or committees.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2.15(5)</w:t>
      </w:r>
      <w:r>
        <w:rPr>
          <w:rFonts w:ascii="Times New Roman" w:hAnsi="Times New Roman"/>
          <w:b w:val="false"/>
          <w:i w:val="false"/>
          <w:color w:val="000000"/>
          <w:sz w:val="22"/>
        </w:rPr>
        <w:t> </w:t>
      </w:r>
      <w:r>
        <w:rPr>
          <w:rFonts w:ascii="Times New Roman" w:hAnsi="Times New Roman"/>
          <w:b w:val="false"/>
          <w:i/>
          <w:color w:val="000000"/>
          <w:sz w:val="22"/>
        </w:rPr>
        <w:t xml:space="preserve">Statistical reports. </w:t>
      </w:r>
      <w:r>
        <w:rPr>
          <w:rFonts w:ascii="Times New Roman" w:hAnsi="Times New Roman"/>
          <w:b w:val="false"/>
          <w:i w:val="false"/>
          <w:color w:val="000000"/>
          <w:sz w:val="22"/>
        </w:rPr>
        <w:t>Periodic reports for various commission programs are available from the commission offices for public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2.15(6)</w:t>
      </w:r>
      <w:r>
        <w:rPr>
          <w:rFonts w:ascii="Times New Roman" w:hAnsi="Times New Roman"/>
          <w:b w:val="false"/>
          <w:i w:val="false"/>
          <w:color w:val="000000"/>
          <w:sz w:val="22"/>
        </w:rPr>
        <w:t> </w:t>
      </w:r>
      <w:r>
        <w:rPr>
          <w:rFonts w:ascii="Times New Roman" w:hAnsi="Times New Roman"/>
          <w:b w:val="false"/>
          <w:i/>
          <w:color w:val="000000"/>
          <w:sz w:val="22"/>
        </w:rPr>
        <w:t xml:space="preserve">Published materials. </w:t>
      </w:r>
      <w:r>
        <w:rPr>
          <w:rFonts w:ascii="Times New Roman" w:hAnsi="Times New Roman"/>
          <w:b w:val="false"/>
          <w:i w:val="false"/>
          <w:color w:val="000000"/>
          <w:sz w:val="22"/>
        </w:rPr>
        <w:t>The commission uses many legal and technical publications in its work. The public may inspect these publications upon request. Some of these materials may be protected by copyright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2.15(7)</w:t>
      </w:r>
      <w:r>
        <w:rPr>
          <w:rFonts w:ascii="Times New Roman" w:hAnsi="Times New Roman"/>
          <w:b w:val="false"/>
          <w:i w:val="false"/>
          <w:color w:val="000000"/>
          <w:sz w:val="22"/>
        </w:rPr>
        <w:t> </w:t>
      </w:r>
      <w:r>
        <w:rPr>
          <w:rFonts w:ascii="Times New Roman" w:hAnsi="Times New Roman"/>
          <w:b w:val="false"/>
          <w:i/>
          <w:color w:val="000000"/>
          <w:sz w:val="22"/>
        </w:rPr>
        <w:t xml:space="preserve">Policy manuals. </w:t>
      </w:r>
      <w:r>
        <w:rPr>
          <w:rFonts w:ascii="Times New Roman" w:hAnsi="Times New Roman"/>
          <w:b w:val="false"/>
          <w:i w:val="false"/>
          <w:color w:val="000000"/>
          <w:sz w:val="22"/>
        </w:rPr>
        <w:t>The commission’s policy manual, containing the policies and procedures for programs administered by the commission, is available in the office of the commission. Policy manuals do not contain information about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2.15(8)</w:t>
      </w:r>
      <w:r>
        <w:rPr>
          <w:rFonts w:ascii="Times New Roman" w:hAnsi="Times New Roman"/>
          <w:b w:val="false"/>
          <w:i w:val="false"/>
          <w:color w:val="000000"/>
          <w:sz w:val="22"/>
        </w:rPr>
        <w:t> </w:t>
      </w:r>
      <w:r>
        <w:rPr>
          <w:rFonts w:ascii="Times New Roman" w:hAnsi="Times New Roman"/>
          <w:b w:val="false"/>
          <w:i/>
          <w:color w:val="000000"/>
          <w:sz w:val="22"/>
        </w:rPr>
        <w:t xml:space="preserve">Asset files. </w:t>
      </w:r>
      <w:r>
        <w:rPr>
          <w:rFonts w:ascii="Times New Roman" w:hAnsi="Times New Roman"/>
          <w:b w:val="false"/>
          <w:i w:val="false"/>
          <w:color w:val="000000"/>
          <w:sz w:val="22"/>
        </w:rPr>
        <w:t>Asset management database and inventory database contain a listing of the assets owned by the network.*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2.15(9)</w:t>
      </w:r>
      <w:r>
        <w:rPr>
          <w:rFonts w:ascii="Times New Roman" w:hAnsi="Times New Roman"/>
          <w:b w:val="false"/>
          <w:i w:val="false"/>
          <w:color w:val="000000"/>
          <w:sz w:val="22"/>
        </w:rPr>
        <w:t> </w:t>
      </w:r>
      <w:r>
        <w:rPr>
          <w:rFonts w:ascii="Times New Roman" w:hAnsi="Times New Roman"/>
          <w:b w:val="false"/>
          <w:i/>
          <w:color w:val="000000"/>
          <w:sz w:val="22"/>
        </w:rPr>
        <w:t xml:space="preserve">Mailing lists/contact lists. </w:t>
      </w:r>
      <w:r>
        <w:rPr>
          <w:rFonts w:ascii="Times New Roman" w:hAnsi="Times New Roman"/>
          <w:b w:val="false"/>
          <w:i w:val="false"/>
          <w:color w:val="000000"/>
          <w:sz w:val="22"/>
        </w:rPr>
        <w:t>Names, mailing addresses, and telephone numbers of state employees, commission members, officials in government of other states, and members of the general public*, for example, may be used for distribution of informational material, such as newsletters, policy directives or educational bulletins. They are also used to provide contacts for coordination of services or as reference information sources.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2.15(10)</w:t>
      </w:r>
      <w:r>
        <w:rPr>
          <w:rFonts w:ascii="Times New Roman" w:hAnsi="Times New Roman"/>
          <w:b w:val="false"/>
          <w:i w:val="false"/>
          <w:color w:val="000000"/>
          <w:sz w:val="22"/>
        </w:rPr>
        <w:t> </w:t>
      </w:r>
      <w:r>
        <w:rPr>
          <w:rFonts w:ascii="Times New Roman" w:hAnsi="Times New Roman"/>
          <w:b w:val="false"/>
          <w:i/>
          <w:color w:val="000000"/>
          <w:sz w:val="22"/>
        </w:rPr>
        <w:t xml:space="preserve">Authorized user lists. </w:t>
      </w:r>
      <w:r>
        <w:rPr>
          <w:rFonts w:ascii="Times New Roman" w:hAnsi="Times New Roman"/>
          <w:b w:val="false"/>
          <w:i w:val="false"/>
          <w:color w:val="000000"/>
          <w:sz w:val="22"/>
        </w:rPr>
        <w:t>The network maintains a list of persons authorized to use the network.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2.15(11)</w:t>
      </w:r>
      <w:r>
        <w:rPr>
          <w:rFonts w:ascii="Times New Roman" w:hAnsi="Times New Roman"/>
          <w:b w:val="false"/>
          <w:i w:val="false"/>
          <w:color w:val="000000"/>
          <w:sz w:val="22"/>
        </w:rPr>
        <w:t> </w:t>
      </w:r>
      <w:r>
        <w:rPr>
          <w:rFonts w:ascii="Times New Roman" w:hAnsi="Times New Roman"/>
          <w:b w:val="false"/>
          <w:i/>
          <w:color w:val="000000"/>
          <w:sz w:val="22"/>
        </w:rPr>
        <w:t xml:space="preserve">Bid/purchasing process. </w:t>
      </w:r>
      <w:r>
        <w:rPr>
          <w:rFonts w:ascii="Times New Roman" w:hAnsi="Times New Roman"/>
          <w:b w:val="false"/>
          <w:i w:val="false"/>
          <w:color w:val="000000"/>
          <w:sz w:val="22"/>
        </w:rPr>
        <w:t>For example, specifications, proposals, bid documents, awards, contracts, agreements, leases, performance bonds, requisitions, purchase orders, supply orders, and correspondence.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2.15(12)</w:t>
      </w:r>
      <w:r>
        <w:rPr>
          <w:rFonts w:ascii="Times New Roman" w:hAnsi="Times New Roman"/>
          <w:b w:val="false"/>
          <w:i w:val="false"/>
          <w:color w:val="000000"/>
          <w:sz w:val="22"/>
        </w:rPr>
        <w:t> </w:t>
      </w:r>
      <w:r>
        <w:rPr>
          <w:rFonts w:ascii="Times New Roman" w:hAnsi="Times New Roman"/>
          <w:b w:val="false"/>
          <w:i/>
          <w:color w:val="000000"/>
          <w:sz w:val="22"/>
        </w:rPr>
        <w:t xml:space="preserve">Project files. </w:t>
      </w:r>
      <w:r>
        <w:rPr>
          <w:rFonts w:ascii="Times New Roman" w:hAnsi="Times New Roman"/>
          <w:b w:val="false"/>
          <w:i w:val="false"/>
          <w:color w:val="000000"/>
          <w:sz w:val="22"/>
        </w:rPr>
        <w:t>For example, plans, specifications, contracts, studies, drawings, photos, blueprints, requests for services, lease/rental files, and 28E agreements.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2.15(13)</w:t>
      </w:r>
      <w:r>
        <w:rPr>
          <w:rFonts w:ascii="Times New Roman" w:hAnsi="Times New Roman"/>
          <w:b w:val="false"/>
          <w:i w:val="false"/>
          <w:color w:val="000000"/>
          <w:sz w:val="22"/>
        </w:rPr>
        <w:t> </w:t>
      </w:r>
      <w:r>
        <w:rPr>
          <w:rFonts w:ascii="Times New Roman" w:hAnsi="Times New Roman"/>
          <w:b w:val="false"/>
          <w:i/>
          <w:color w:val="000000"/>
          <w:sz w:val="22"/>
        </w:rPr>
        <w:t xml:space="preserve">Data processing files. </w:t>
      </w:r>
      <w:r>
        <w:rPr>
          <w:rFonts w:ascii="Times New Roman" w:hAnsi="Times New Roman"/>
          <w:b w:val="false"/>
          <w:i w:val="false"/>
          <w:color w:val="000000"/>
          <w:sz w:val="22"/>
        </w:rPr>
        <w:t>For example, operations logs, data base user requests, job number maintenance/update, data entry format book, integrated data dictionary, computer output forms designations, system software, hardware/software documentation and configurations, problem determinations and resolutions records, and incident reports.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2.15(14)</w:t>
      </w:r>
      <w:r>
        <w:rPr>
          <w:rFonts w:ascii="Times New Roman" w:hAnsi="Times New Roman"/>
          <w:b w:val="false"/>
          <w:i w:val="false"/>
          <w:color w:val="000000"/>
          <w:sz w:val="22"/>
        </w:rPr>
        <w:t> </w:t>
      </w:r>
      <w:r>
        <w:rPr>
          <w:rFonts w:ascii="Times New Roman" w:hAnsi="Times New Roman"/>
          <w:b w:val="false"/>
          <w:i/>
          <w:color w:val="000000"/>
          <w:sz w:val="22"/>
        </w:rPr>
        <w:t xml:space="preserve">Administrative records.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Reports: For example, weekly, monthly, annual, biennial, statistical, analysis, and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Correspondence: For example, public, interdepartmental, and internal.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Policies and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Organizational charts, and table of authorized positions.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Memberships: Professional/technical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Planning: Disaster recovery plans, emergency operation plans.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Budget and financial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Accounting records such as accounts receivable, accounts payable, receipts, invoices, claims, vouchers, and departmental billings.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Legislative files such as pending bills, enrolled bills, legislative proposals, and copies of amendments.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2.15(15)</w:t>
      </w:r>
      <w:r>
        <w:rPr>
          <w:rFonts w:ascii="Times New Roman" w:hAnsi="Times New Roman"/>
          <w:b w:val="false"/>
          <w:i w:val="false"/>
          <w:color w:val="000000"/>
          <w:sz w:val="22"/>
        </w:rPr>
        <w:t> </w:t>
      </w:r>
      <w:r>
        <w:rPr>
          <w:rFonts w:ascii="Times New Roman" w:hAnsi="Times New Roman"/>
          <w:b w:val="false"/>
          <w:i/>
          <w:color w:val="000000"/>
          <w:sz w:val="22"/>
        </w:rPr>
        <w:t xml:space="preserve">Other records. </w:t>
      </w:r>
      <w:r>
        <w:rPr>
          <w:rFonts w:ascii="Times New Roman" w:hAnsi="Times New Roman"/>
          <w:b w:val="false"/>
          <w:i w:val="false"/>
          <w:color w:val="000000"/>
          <w:sz w:val="22"/>
        </w:rPr>
        <w:t>All other records that are not exempted from disclosure by law are open.</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15">
        <w:r>
          <w:rPr>
            <w:rStyle w:val="Hyperlink"/>
            <w:rFonts w:ascii="Times New Roman" w:hAnsi="Times New Roman"/>
            <w:b w:val="false"/>
            <w:i w:val="false"/>
            <w:color w:val="000000"/>
            <w:sz w:val="22"/>
          </w:rPr>
          <w:t>22.11</w:t>
        </w:r>
      </w:hyperlink>
      <w:r>
        <w:rPr>
          <w:rFonts w:ascii="Times New Roman" w:hAnsi="Times New Roman"/>
          <w:b w:val="false"/>
          <w:i w:val="false"/>
          <w:color w:val="000000"/>
          <w:sz w:val="22"/>
        </w:rPr>
        <w:t xml:space="preserve">, Iowa Code Supplement section </w:t>
      </w:r>
      <w:hyperlink r:id="rId16">
        <w:r>
          <w:rPr>
            <w:rStyle w:val="Hyperlink"/>
            <w:rFonts w:ascii="Times New Roman" w:hAnsi="Times New Roman"/>
            <w:b w:val="false"/>
            <w:i w:val="false"/>
            <w:color w:val="000000"/>
            <w:sz w:val="22"/>
          </w:rPr>
          <w:t>8D.3(3)</w:t>
        </w:r>
        <w:r>
          <w:rPr>
            <w:rFonts w:ascii="Times New Roman" w:hAnsi="Times New Roman"/>
            <w:b w:val="false"/>
            <w:i/>
            <w:color w:val="000000"/>
            <w:sz w:val="22"/>
          </w:rPr>
          <w:t>“b,”</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1996 Iowa Acts, House File 2407</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9/17/96, Notice 7/31/96—published 10/9/96, effective 11/13/96]</w:t>
      </w:r>
    </w:p>
    <w:p>
      <w:pPr>
        <w:spacing w:before="0" w:after="0"/>
        <w:ind w:left="120"/>
        <w:jc w:val="center"/>
      </w:pPr>
      <w:r>
        <w:rPr>
          <w:rFonts w:ascii="Times New Roman" w:hAnsi="Times New Roman"/>
          <w:b w:val="false"/>
          <w:i w:val="false"/>
          <w:color w:val="000000"/>
          <w:sz w:val="21"/>
        </w:rPr>
        <w:t>[Filed 12/1/04, Notice 10/13/04—published 12/22/04, effective 1/26/05]</w:t>
      </w:r>
    </w:p>
    <w:p>
      <w:pPr>
        <w:spacing w:before="0" w:after="0"/>
        <w:ind w:left="120"/>
        <w:jc w:val="center"/>
      </w:pPr>
      <w:r>
        <w:rPr>
          <w:rFonts w:ascii="Times New Roman" w:hAnsi="Times New Roman"/>
          <w:b w:val="false"/>
          <w:i w:val="false"/>
          <w:color w:val="000000"/>
          <w:sz w:val="21"/>
        </w:rPr>
        <w:t>[Filed 9/21/07, Notice 6/20/07—published 10/10/07, effective 11/14/07]</w:t>
      </w:r>
    </w:p>
    <w:p>
      <w:pPr>
        <w:spacing w:before="0" w:after="0"/>
        <w:ind w:left="120"/>
        <w:jc w:val="center"/>
      </w:pPr>
      <w:r>
        <w:rPr>
          <w:rFonts w:ascii="Times New Roman" w:hAnsi="Times New Roman"/>
          <w:b w:val="false"/>
          <w:i w:val="false"/>
          <w:color w:val="000000"/>
          <w:sz w:val="21"/>
        </w:rPr>
        <w:t>[Filed Emergency After Notice ARC 2497C</w:t>
      </w:r>
      <w:r>
        <w:rPr>
          <w:rFonts w:ascii="Times New Roman" w:hAnsi="Times New Roman"/>
          <w:b w:val="false"/>
          <w:i w:val="false"/>
          <w:color w:val="000000"/>
          <w:sz w:val="21"/>
        </w:rPr>
        <w:t xml:space="preserve"> (Notice ARC 2381C, IAB 2/3/16)</w:t>
      </w:r>
      <w:r>
        <w:rPr>
          <w:rFonts w:ascii="Times New Roman" w:hAnsi="Times New Roman"/>
          <w:b w:val="false"/>
          <w:i w:val="false"/>
          <w:color w:val="000000"/>
          <w:sz w:val="21"/>
        </w:rPr>
        <w:t>, IAB 4/13/16, effective 3/25/16]</w:t>
      </w:r>
    </w:p>
    <w:p>
      <w:pPr>
        <w:spacing w:before="0" w:after="0"/>
        <w:ind w:left="120"/>
        <w:jc w:val="center"/>
      </w:pPr>
      <w:r>
        <w:rPr>
          <w:rFonts w:ascii="Times New Roman" w:hAnsi="Times New Roman"/>
          <w:b w:val="false"/>
          <w:i w:val="false"/>
          <w:color w:val="000000"/>
          <w:sz w:val="21"/>
        </w:rPr>
        <w:t>[Content rescinded by 2026 Iowa Acts, Senate File 2463, section 4—editorially removed in IAC Supplement 7/8/26, effective 7/1/26]</w:t>
      </w:r>
    </w:p>
    <w:sectPr>
      <w:footerReference r:id="rId1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2.7.pdf" Type="http://schemas.openxmlformats.org/officeDocument/2006/relationships/hyperlink" Id="rId5"/>
    <Relationship TargetMode="External" Target="https://www.legis.iowa.gov/docs/ico/chapter/22.pdf" Type="http://schemas.openxmlformats.org/officeDocument/2006/relationships/hyperlink" Id="rId6"/>
    <Relationship TargetMode="External" Target="https://www.legis.iowa.gov/docs/ico/chapter/22.1.pdf" Type="http://schemas.openxmlformats.org/officeDocument/2006/relationships/hyperlink" Id="rId7"/>
    <Relationship TargetMode="External" Target="https://www.legis.iowa.gov/docs/iac/rule/751.2.2.pdf" Type="http://schemas.openxmlformats.org/officeDocument/2006/relationships/hyperlink" Id="rId8"/>
    <Relationship TargetMode="External" Target="https://www.legis.iowa.gov/docs/ico/chapter/8D.pdf" Type="http://schemas.openxmlformats.org/officeDocument/2006/relationships/hyperlink" Id="rId9"/>
    <Relationship TargetMode="External" Target="https://www.legis.iowa.gov/docs/iac/rule/751.2.2.pdf" Type="http://schemas.openxmlformats.org/officeDocument/2006/relationships/hyperlink" Id="rId10"/>
    <Relationship TargetMode="External" Target="https://www.legis.iowa.gov/docs/ico/chapter/22.pdf" Type="http://schemas.openxmlformats.org/officeDocument/2006/relationships/hyperlink" Id="rId11"/>
    <Relationship TargetMode="External" Target="https://www.legis.iowa.gov/docs/ico/chapter/17A.4.pdf" Type="http://schemas.openxmlformats.org/officeDocument/2006/relationships/hyperlink" Id="rId12"/>
    <Relationship TargetMode="External" Target="https://www.legis.iowa.gov/docs/ico/chapter/21.5.pdf" Type="http://schemas.openxmlformats.org/officeDocument/2006/relationships/hyperlink" Id="rId13"/>
    <Relationship TargetMode="External" Target="https://www.legis.iowa.gov/docs/ico/chapter/21.3.pdf" Type="http://schemas.openxmlformats.org/officeDocument/2006/relationships/hyperlink" Id="rId14"/>
    <Relationship TargetMode="External" Target="https://www.legis.iowa.gov/docs/ico/chapter/22.11.pdf" Type="http://schemas.openxmlformats.org/officeDocument/2006/relationships/hyperlink" Id="rId15"/>
    <Relationship TargetMode="External" Target="https://www.legis.iowa.gov/docs/ico/chapter/8D.3.pdf" Type="http://schemas.openxmlformats.org/officeDocument/2006/relationships/hyperlink" Id="rId16"/>
    <Relationship Target="footer.xml" Type="http://schemas.openxmlformats.org/officeDocument/2006/relationships/footer" Id="rId1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