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ADVISORY COUNCILS, COMMITTEES</w:t>
      </w:r>
      <w:r>
        <w:br/>
      </w:r>
      <w:r>
        <w:rPr>
          <w:rFonts w:ascii="Times New Roman" w:hAnsi="Times New Roman"/>
          <w:b w:val="false"/>
          <w:i w:val="false"/>
          <w:color w:val="000000"/>
          <w:sz w:val="21"/>
        </w:rPr>
        <w:t>AND GROUPS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751—15.1</w:t>
      </w:r>
      <w:r>
        <w:rPr>
          <w:rFonts w:ascii="Times New Roman" w:hAnsi="Times New Roman"/>
          <w:b/>
          <w:i w:val="false"/>
          <w:color w:val="000000"/>
          <w:sz w:val="22"/>
        </w:rPr>
        <w:t xml:space="preserve">(8D) </w:t>
      </w:r>
      <w:r>
        <w:rPr>
          <w:rFonts w:ascii="Times New Roman" w:hAnsi="Times New Roman"/>
          <w:b/>
          <w:i w:val="false"/>
          <w:color w:val="000000"/>
          <w:sz w:val="22"/>
        </w:rPr>
        <w:t xml:space="preserve">Meetings for advisory councils, committees and groups. </w:t>
      </w:r>
      <w:r>
        <w:rPr>
          <w:rFonts w:ascii="Times New Roman" w:hAnsi="Times New Roman"/>
          <w:b w:val="false"/>
          <w:i w:val="false"/>
          <w:color w:val="000000"/>
          <w:sz w:val="22"/>
        </w:rPr>
        <w:t xml:space="preserve">Any advisory councils, committees or groups established by Iowa Code chapter </w:t>
      </w:r>
      <w:hyperlink r:id="rId5">
        <w:r>
          <w:rPr>
            <w:rStyle w:val="Hyperlink"/>
            <w:rFonts w:ascii="Times New Roman" w:hAnsi="Times New Roman"/>
            <w:b w:val="false"/>
            <w:i w:val="false"/>
            <w:color w:val="000000"/>
            <w:sz w:val="22"/>
          </w:rPr>
          <w:t>8D</w:t>
        </w:r>
      </w:hyperlink>
      <w:r>
        <w:rPr>
          <w:rFonts w:ascii="Times New Roman" w:hAnsi="Times New Roman"/>
          <w:b w:val="false"/>
          <w:i w:val="false"/>
          <w:color w:val="000000"/>
          <w:sz w:val="22"/>
        </w:rPr>
        <w:t xml:space="preserve"> or at the direction of the commission must meet at least twice annually. If any of these groups fail to meet and advise or provide recommendations to the commission, the commission may appoint new members to the advisory councils, committees or groups or as otherwise provided by law.</w:t>
      </w:r>
    </w:p>
    <w:p>
      <w:pPr>
        <w:spacing w:before="210" w:after="0"/>
        <w:ind w:left="120"/>
        <w:jc w:val="both"/>
      </w:pPr>
      <w:r>
        <w:rPr>
          <w:rFonts w:ascii="Times New Roman" w:hAnsi="Times New Roman"/>
          <w:b/>
          <w:i w:val="false"/>
          <w:color w:val="000000"/>
          <w:sz w:val="22"/>
        </w:rPr>
        <w:t>751—15.2</w:t>
      </w:r>
      <w:r>
        <w:rPr>
          <w:rFonts w:ascii="Times New Roman" w:hAnsi="Times New Roman"/>
          <w:b/>
          <w:i w:val="false"/>
          <w:color w:val="000000"/>
          <w:sz w:val="22"/>
        </w:rPr>
        <w:t xml:space="preserve">(8D) </w:t>
      </w:r>
      <w:r>
        <w:rPr>
          <w:rFonts w:ascii="Times New Roman" w:hAnsi="Times New Roman"/>
          <w:b/>
          <w:i w:val="false"/>
          <w:color w:val="000000"/>
          <w:sz w:val="22"/>
        </w:rPr>
        <w:t xml:space="preserve">Attendance by members. </w:t>
      </w:r>
      <w:r>
        <w:rPr>
          <w:rFonts w:ascii="Times New Roman" w:hAnsi="Times New Roman"/>
          <w:b w:val="false"/>
          <w:i w:val="false"/>
          <w:color w:val="000000"/>
          <w:sz w:val="22"/>
        </w:rPr>
        <w:t>Each advisory council shall establish attendance policies for its members subject to approval by the commission. In the event the commission, through the recommendations of an advisory council, a committee or group, removes a member from an advisory council, a committee or group, the commission may replace that member immediately.</w:t>
      </w:r>
    </w:p>
    <w:p>
      <w:pPr>
        <w:spacing w:before="0" w:after="0"/>
        <w:ind w:left="120"/>
        <w:jc w:val="both"/>
      </w:pPr>
      <w:r>
        <w:rPr>
          <w:rFonts w:ascii="Times New Roman" w:hAnsi="Times New Roman"/>
          <w:b/>
          <w:i w:val="false"/>
          <w:color w:val="000000"/>
          <w:sz w:val="22"/>
        </w:rPr>
        <w:t>751—15.3</w:t>
      </w:r>
      <w:r>
        <w:rPr>
          <w:rFonts w:ascii="Times New Roman" w:hAnsi="Times New Roman"/>
          <w:b/>
          <w:i w:val="false"/>
          <w:color w:val="000000"/>
          <w:sz w:val="22"/>
        </w:rPr>
        <w:t xml:space="preserve">(8D) </w:t>
      </w:r>
      <w:r>
        <w:rPr>
          <w:rFonts w:ascii="Times New Roman" w:hAnsi="Times New Roman"/>
          <w:b/>
          <w:i w:val="false"/>
          <w:color w:val="000000"/>
          <w:sz w:val="22"/>
        </w:rPr>
        <w:t xml:space="preserve">Duties of advisory councils, committees and groups. </w:t>
      </w:r>
      <w:r>
        <w:rPr>
          <w:rFonts w:ascii="Times New Roman" w:hAnsi="Times New Roman"/>
          <w:b w:val="false"/>
          <w:i w:val="false"/>
          <w:color w:val="000000"/>
          <w:sz w:val="22"/>
        </w:rPr>
        <w:t>The advisory councils, committees and groups at a minimum shall have the following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w:t>
      </w:r>
      <w:r>
        <w:rPr>
          <w:rFonts w:ascii="Times New Roman" w:hAnsi="Times New Roman"/>
          <w:b w:val="false"/>
          <w:i w:val="false"/>
          <w:color w:val="000000"/>
          <w:sz w:val="22"/>
        </w:rPr>
        <w:t> </w:t>
      </w:r>
      <w:r>
        <w:rPr>
          <w:rFonts w:ascii="Times New Roman" w:hAnsi="Times New Roman"/>
          <w:b w:val="false"/>
          <w:i/>
          <w:color w:val="000000"/>
          <w:sz w:val="22"/>
        </w:rPr>
        <w:t xml:space="preserve">Develop rules. </w:t>
      </w:r>
      <w:r>
        <w:rPr>
          <w:rFonts w:ascii="Times New Roman" w:hAnsi="Times New Roman"/>
          <w:b w:val="false"/>
          <w:i w:val="false"/>
          <w:color w:val="000000"/>
          <w:sz w:val="22"/>
        </w:rPr>
        <w:t>Develop proposed rules for commission consideration regarding use of and access to the network. The commission may refuse to approve and adopt a proposed rule, and upon such refusal, shall return the proposed rule to the advisory group proposing the rule with a statement indicating the commission’s reason for refusing to approve and adopt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15.3(2)</w:t>
      </w:r>
      <w:r>
        <w:rPr>
          <w:rFonts w:ascii="Times New Roman" w:hAnsi="Times New Roman"/>
          <w:b w:val="false"/>
          <w:i w:val="false"/>
          <w:color w:val="000000"/>
          <w:sz w:val="22"/>
        </w:rPr>
        <w:t> </w:t>
      </w:r>
      <w:r>
        <w:rPr>
          <w:rFonts w:ascii="Times New Roman" w:hAnsi="Times New Roman"/>
          <w:b w:val="false"/>
          <w:i/>
          <w:color w:val="000000"/>
          <w:sz w:val="22"/>
        </w:rPr>
        <w:t xml:space="preserve">Prepare reports. </w:t>
      </w:r>
      <w:r>
        <w:rPr>
          <w:rFonts w:ascii="Times New Roman" w:hAnsi="Times New Roman"/>
          <w:b w:val="false"/>
          <w:i w:val="false"/>
          <w:color w:val="000000"/>
          <w:sz w:val="22"/>
        </w:rPr>
        <w:t>As requested from time to time by the commission, provide information, reports and perform special projects to assist the commission in completing its 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15.3(3)</w:t>
      </w:r>
      <w:r>
        <w:rPr>
          <w:rFonts w:ascii="Times New Roman" w:hAnsi="Times New Roman"/>
          <w:b w:val="false"/>
          <w:i w:val="false"/>
          <w:color w:val="000000"/>
          <w:sz w:val="22"/>
        </w:rPr>
        <w:t> </w:t>
      </w:r>
      <w:r>
        <w:rPr>
          <w:rFonts w:ascii="Times New Roman" w:hAnsi="Times New Roman"/>
          <w:b w:val="false"/>
          <w:i/>
          <w:color w:val="000000"/>
          <w:sz w:val="22"/>
        </w:rPr>
        <w:t xml:space="preserve">Provide notices of meetings and minutes of meetings.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advisory council, committee or group shall prepare minutes of its meetings and submit the minutes to the commission within 60 days of the date of the meeting for posting on the Iowa communications network Web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advisory council, committee or group shall provide notice of its meetings to interested parties identified by the commission or the advisory council, committee or group. An advisory council, committee or group shall submit an electronic agenda and notice to the ICN one week prior to a scheduled meeting for posting on the Iowa communications network Web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15.3(4)</w:t>
      </w:r>
      <w:r>
        <w:rPr>
          <w:rFonts w:ascii="Times New Roman" w:hAnsi="Times New Roman"/>
          <w:b w:val="false"/>
          <w:i w:val="false"/>
          <w:color w:val="000000"/>
          <w:sz w:val="22"/>
        </w:rPr>
        <w:t> </w:t>
      </w:r>
      <w:r>
        <w:rPr>
          <w:rFonts w:ascii="Times New Roman" w:hAnsi="Times New Roman"/>
          <w:b w:val="false"/>
          <w:i/>
          <w:color w:val="000000"/>
          <w:sz w:val="22"/>
        </w:rPr>
        <w:t xml:space="preserve">Develop mission statement. </w:t>
      </w:r>
      <w:r>
        <w:rPr>
          <w:rFonts w:ascii="Times New Roman" w:hAnsi="Times New Roman"/>
          <w:b w:val="false"/>
          <w:i w:val="false"/>
          <w:color w:val="000000"/>
          <w:sz w:val="22"/>
        </w:rPr>
        <w:t>Each advisory council, committee or group shall prepare a written mission statement. The mission statements shall be filed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15.3(5)</w:t>
      </w:r>
      <w:r>
        <w:rPr>
          <w:rFonts w:ascii="Times New Roman" w:hAnsi="Times New Roman"/>
          <w:b w:val="false"/>
          <w:i w:val="false"/>
          <w:color w:val="000000"/>
          <w:sz w:val="22"/>
        </w:rPr>
        <w:t> </w:t>
      </w:r>
      <w:r>
        <w:rPr>
          <w:rFonts w:ascii="Times New Roman" w:hAnsi="Times New Roman"/>
          <w:b w:val="false"/>
          <w:i/>
          <w:color w:val="000000"/>
          <w:sz w:val="22"/>
        </w:rPr>
        <w:t xml:space="preserve">Scheduling and site usage policies. </w:t>
      </w:r>
      <w:r>
        <w:rPr>
          <w:rFonts w:ascii="Times New Roman" w:hAnsi="Times New Roman"/>
          <w:b w:val="false"/>
          <w:i w:val="false"/>
          <w:color w:val="000000"/>
          <w:sz w:val="22"/>
        </w:rPr>
        <w:t>Subject to approval by the commission, the advisory councils, committees and groups shall establish site and usage policies for authorized users of the network.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0409C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751—15.4</w:t>
      </w:r>
      <w:r>
        <w:rPr>
          <w:rFonts w:ascii="Times New Roman" w:hAnsi="Times New Roman"/>
          <w:b/>
          <w:i w:val="false"/>
          <w:color w:val="000000"/>
          <w:sz w:val="22"/>
        </w:rPr>
        <w:t xml:space="preserve">(8D) </w:t>
      </w:r>
      <w:r>
        <w:rPr>
          <w:rFonts w:ascii="Times New Roman" w:hAnsi="Times New Roman"/>
          <w:b/>
          <w:i w:val="false"/>
          <w:color w:val="000000"/>
          <w:sz w:val="22"/>
        </w:rPr>
        <w:t xml:space="preserve">Additional duties of education telecommunications council. </w:t>
      </w:r>
      <w:r>
        <w:rPr>
          <w:rFonts w:ascii="Times New Roman" w:hAnsi="Times New Roman"/>
          <w:b w:val="false"/>
          <w:i w:val="false"/>
          <w:color w:val="000000"/>
          <w:sz w:val="22"/>
        </w:rPr>
        <w:t xml:space="preserve">Rescinded </w:t>
      </w:r>
      <w:r>
        <w:rPr>
          <w:rFonts w:ascii="Times New Roman" w:hAnsi="Times New Roman"/>
          <w:b/>
          <w:i w:val="false"/>
          <w:color w:val="000000"/>
          <w:sz w:val="22"/>
        </w:rPr>
        <w:t>ARC 4983C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3/11/20</w:t>
      </w:r>
      <w:r>
        <w:rPr>
          <w:rFonts w:ascii="Times New Roman" w:hAnsi="Times New Roman"/>
          <w:b w:val="false"/>
          <w:i w:val="false"/>
          <w:color w:val="000000"/>
          <w:sz w:val="22"/>
        </w:rPr>
        <w:t xml:space="preserve">, effective 4/15/20. </w:t>
      </w:r>
    </w:p>
    <w:p>
      <w:pPr>
        <w:spacing w:before="210" w:after="0"/>
        <w:ind w:left="120"/>
        <w:jc w:val="both"/>
      </w:pPr>
      <w:r>
        <w:rPr>
          <w:rFonts w:ascii="Times New Roman" w:hAnsi="Times New Roman"/>
          <w:b/>
          <w:i w:val="false"/>
          <w:color w:val="000000"/>
          <w:sz w:val="22"/>
        </w:rPr>
        <w:t>751—15.5</w:t>
      </w:r>
      <w:r>
        <w:rPr>
          <w:rFonts w:ascii="Times New Roman" w:hAnsi="Times New Roman"/>
          <w:b/>
          <w:i w:val="false"/>
          <w:color w:val="000000"/>
          <w:sz w:val="22"/>
        </w:rPr>
        <w:t xml:space="preserve">(8D) </w:t>
      </w:r>
      <w:r>
        <w:rPr>
          <w:rFonts w:ascii="Times New Roman" w:hAnsi="Times New Roman"/>
          <w:b/>
          <w:i w:val="false"/>
          <w:color w:val="000000"/>
          <w:sz w:val="22"/>
        </w:rPr>
        <w:t xml:space="preserve">Additional duties of regional educational telecommunications council. </w:t>
      </w:r>
      <w:r>
        <w:rPr>
          <w:rFonts w:ascii="Times New Roman" w:hAnsi="Times New Roman"/>
          <w:b w:val="false"/>
          <w:i w:val="false"/>
          <w:color w:val="000000"/>
          <w:sz w:val="22"/>
        </w:rPr>
        <w:t xml:space="preserve">Rescinded </w:t>
      </w:r>
      <w:r>
        <w:rPr>
          <w:rFonts w:ascii="Times New Roman" w:hAnsi="Times New Roman"/>
          <w:b/>
          <w:i w:val="false"/>
          <w:color w:val="000000"/>
          <w:sz w:val="22"/>
        </w:rPr>
        <w:t>ARC 4983C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3/11/20</w:t>
      </w:r>
      <w:r>
        <w:rPr>
          <w:rFonts w:ascii="Times New Roman" w:hAnsi="Times New Roman"/>
          <w:b w:val="false"/>
          <w:i w:val="false"/>
          <w:color w:val="000000"/>
          <w:sz w:val="22"/>
        </w:rPr>
        <w:t xml:space="preserve">, effective 4/15/20. </w:t>
      </w:r>
    </w:p>
    <w:p>
      <w:pPr>
        <w:spacing w:before="0" w:after="0"/>
        <w:ind w:left="120"/>
        <w:jc w:val="both"/>
      </w:pPr>
      <w:r>
        <w:rPr>
          <w:rFonts w:ascii="Times New Roman" w:hAnsi="Times New Roman"/>
          <w:b w:val="false"/>
          <w:i w:val="false"/>
          <w:color w:val="000000"/>
          <w:sz w:val="22"/>
        </w:rPr>
        <w:t xml:space="preserve">This chapter is intended to implement Iowa Code sections </w:t>
      </w:r>
      <w:hyperlink r:id="rId6">
        <w:r>
          <w:rPr>
            <w:rStyle w:val="Hyperlink"/>
            <w:rFonts w:ascii="Times New Roman" w:hAnsi="Times New Roman"/>
            <w:b w:val="false"/>
            <w:i w:val="false"/>
            <w:color w:val="000000"/>
            <w:sz w:val="22"/>
          </w:rPr>
          <w:t>8D.3</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8D.5</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8D.6</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8D.7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3/21/97, Notice 1/15/97—published 4/9/97, effective 5/14/97]</w:t>
      </w:r>
    </w:p>
    <w:p>
      <w:pPr>
        <w:spacing w:before="0" w:after="0"/>
        <w:ind w:left="120"/>
        <w:jc w:val="center"/>
      </w:pPr>
      <w:r>
        <w:rPr>
          <w:rFonts w:ascii="Times New Roman" w:hAnsi="Times New Roman"/>
          <w:b w:val="false"/>
          <w:i w:val="false"/>
          <w:color w:val="000000"/>
          <w:sz w:val="21"/>
        </w:rPr>
        <w:t>[Filed ARC 0409C</w:t>
      </w:r>
      <w:r>
        <w:rPr>
          <w:rFonts w:ascii="Times New Roman" w:hAnsi="Times New Roman"/>
          <w:b w:val="false"/>
          <w:i w:val="false"/>
          <w:color w:val="000000"/>
          <w:sz w:val="21"/>
        </w:rPr>
        <w:t xml:space="preserve"> (Notice ARC 0269C, IAB 8/8/12)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4983C</w:t>
      </w:r>
      <w:r>
        <w:rPr>
          <w:rFonts w:ascii="Times New Roman" w:hAnsi="Times New Roman"/>
          <w:b w:val="false"/>
          <w:i w:val="false"/>
          <w:color w:val="000000"/>
          <w:sz w:val="21"/>
        </w:rPr>
        <w:t xml:space="preserve"> (Notice ARC 4626C, IAB 8/28/19)</w:t>
      </w:r>
      <w:r>
        <w:rPr>
          <w:rFonts w:ascii="Times New Roman" w:hAnsi="Times New Roman"/>
          <w:b w:val="false"/>
          <w:i w:val="false"/>
          <w:color w:val="000000"/>
          <w:sz w:val="21"/>
        </w:rPr>
        <w:t>, IAB 3/11/20, effective 4/15/20]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D.pdf" Type="http://schemas.openxmlformats.org/officeDocument/2006/relationships/hyperlink" Id="rId5"/>
    <Relationship TargetMode="External" Target="https://www.legis.iowa.gov/docs/ico/chapter/8D.3.pdf" Type="http://schemas.openxmlformats.org/officeDocument/2006/relationships/hyperlink" Id="rId6"/>
    <Relationship TargetMode="External" Target="https://www.legis.iowa.gov/docs/ico/chapter/8D.5.pdf" Type="http://schemas.openxmlformats.org/officeDocument/2006/relationships/hyperlink" Id="rId7"/>
    <Relationship TargetMode="External" Target="https://www.legis.iowa.gov/docs/ico/chapter/8D.6.pdf" Type="http://schemas.openxmlformats.org/officeDocument/2006/relationships/hyperlink" Id="rId8"/>
    <Relationship TargetMode="External" Target="https://www.legis.iowa.gov/docs/ico/chapter/8D.7.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