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SITE CHARGES AND OTHER FEES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751—13.1</w:t>
      </w:r>
      <w:r>
        <w:rPr>
          <w:rFonts w:ascii="Times New Roman" w:hAnsi="Times New Roman"/>
          <w:b/>
          <w:i w:val="false"/>
          <w:color w:val="000000"/>
          <w:sz w:val="22"/>
        </w:rPr>
        <w:t xml:space="preserve">(8D) </w:t>
      </w:r>
      <w:r>
        <w:rPr>
          <w:rFonts w:ascii="Times New Roman" w:hAnsi="Times New Roman"/>
          <w:b/>
          <w:i w:val="false"/>
          <w:color w:val="000000"/>
          <w:sz w:val="22"/>
        </w:rPr>
        <w:t xml:space="preserve">Site charges. </w:t>
      </w:r>
      <w:r>
        <w:rPr>
          <w:rFonts w:ascii="Times New Roman" w:hAnsi="Times New Roman"/>
          <w:b w:val="false"/>
          <w:i w:val="false"/>
          <w:color w:val="000000"/>
          <w:sz w:val="22"/>
        </w:rPr>
        <w:t>The commission, on its own or as recommended by an advisory committee of the commission and approved by the commission, shall permit a fee to be charged by a receiving site to the requesting authorized user for a video transmission provided on the network. The fee charged shall be for the purpose of recovering the operating costs of a receiving site. The fee charged shall be reduced by an amount received by the receiving site pursuant to a state appropriation for such costs, or federal assistance received for such costs. Fees established under this chapter shall be paid by the originating site directly to the receiving site. For purposes of this rule, “operating costs” include the costs associated with the management or coordination, operations, utilities, classroom, equipment, maintenance, and other costs directly related to providing the receiving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val="false"/>
          <w:color w:val="000000"/>
          <w:sz w:val="22"/>
        </w:rPr>
        <w:t>Site fee. The hourly charge for a site may be up to $12.50 per hour for use of a classroom for interactive video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the introductory paragraph of </w:t>
      </w:r>
      <w:hyperlink r:id="rId5">
        <w:r>
          <w:rPr>
            <w:rStyle w:val="Hyperlink"/>
            <w:rFonts w:ascii="Times New Roman" w:hAnsi="Times New Roman"/>
            <w:b w:val="false"/>
            <w:i w:val="false"/>
            <w:color w:val="000000"/>
            <w:sz w:val="22"/>
          </w:rPr>
          <w:t>rule 13.1(8D)</w:t>
        </w:r>
      </w:hyperlink>
      <w:r>
        <w:rPr>
          <w:rFonts w:ascii="Times New Roman" w:hAnsi="Times New Roman"/>
          <w:b w:val="false"/>
          <w:i w:val="false"/>
          <w:color w:val="000000"/>
          <w:sz w:val="22"/>
        </w:rPr>
        <w:t>, if an entity requests a receiving site location in a video classroom facility which is authorized by, but not funded by the originator of the session, the video classroom facility shall bill the requesting entity directly for the operating costs relating to the site.</w:t>
      </w:r>
    </w:p>
    <w:p>
      <w:pPr>
        <w:spacing w:before="0" w:after="0"/>
        <w:ind w:left="120"/>
        <w:jc w:val="both"/>
      </w:pPr>
      <w:r>
        <w:rPr>
          <w:rFonts w:ascii="Times New Roman" w:hAnsi="Times New Roman"/>
          <w:b/>
          <w:i w:val="false"/>
          <w:color w:val="000000"/>
          <w:sz w:val="22"/>
        </w:rPr>
        <w:t>751—13.2</w:t>
      </w:r>
      <w:r>
        <w:rPr>
          <w:rFonts w:ascii="Times New Roman" w:hAnsi="Times New Roman"/>
          <w:b/>
          <w:i w:val="false"/>
          <w:color w:val="000000"/>
          <w:sz w:val="22"/>
        </w:rPr>
        <w:t xml:space="preserve">(8D) </w:t>
      </w:r>
      <w:r>
        <w:rPr>
          <w:rFonts w:ascii="Times New Roman" w:hAnsi="Times New Roman"/>
          <w:b/>
          <w:i w:val="false"/>
          <w:color w:val="000000"/>
          <w:sz w:val="22"/>
        </w:rPr>
        <w:t xml:space="preserve">Other fees. </w:t>
      </w:r>
      <w:r>
        <w:rPr>
          <w:rFonts w:ascii="Times New Roman" w:hAnsi="Times New Roman"/>
          <w:b w:val="false"/>
          <w:i w:val="false"/>
          <w:color w:val="000000"/>
          <w:sz w:val="22"/>
        </w:rPr>
        <w:t>The commission shall charge the following fees based on the ongoing operational costs of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color w:val="000000"/>
          <w:sz w:val="22"/>
        </w:rPr>
        <w:t xml:space="preserve">Staff time devoted to a cable cut. </w:t>
      </w:r>
      <w:r>
        <w:rPr>
          <w:rFonts w:ascii="Times New Roman" w:hAnsi="Times New Roman"/>
          <w:b w:val="false"/>
          <w:i w:val="false"/>
          <w:color w:val="000000"/>
          <w:sz w:val="22"/>
        </w:rPr>
        <w:t>An administrative fee shall be added to the cost of repair for a cable cut. The fee shall be charged to the person or entity who caused the cable cut. The fee shall be a minimum of $150. In the event commission staff members must devote more than ten hours to the cable cut repair, the actual hourly rate of a telecommunications technician shall be added to the cost of the cable cut for the total time all staff members are required to devote to the cable cut and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color w:val="000000"/>
          <w:sz w:val="22"/>
        </w:rPr>
        <w:t xml:space="preserve">Informal resolution of cable cuts. </w:t>
      </w:r>
      <w:r>
        <w:rPr>
          <w:rFonts w:ascii="Times New Roman" w:hAnsi="Times New Roman"/>
          <w:b w:val="false"/>
          <w:i w:val="false"/>
          <w:color w:val="000000"/>
          <w:sz w:val="22"/>
        </w:rPr>
        <w:t>Commission staff members are authorized to resolve cable cut repair costs informally including making adjustments to the administrative fees attributable to the cable cut and repair or the revenue lost from the cable cut. Any settlement of a disputed claim must be reduced to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color w:val="000000"/>
          <w:sz w:val="22"/>
        </w:rPr>
        <w:t xml:space="preserve">Estimate for cable relocation cost. </w:t>
      </w:r>
      <w:r>
        <w:rPr>
          <w:rFonts w:ascii="Times New Roman" w:hAnsi="Times New Roman"/>
          <w:b w:val="false"/>
          <w:i w:val="false"/>
          <w:color w:val="000000"/>
          <w:sz w:val="22"/>
        </w:rPr>
        <w:t>An administrative fee equaling the commission’s cost to provide an estimate for a cable move for a property owner shall be charged to the property owner. Notwithstanding the foregoing, if the commission has preexisting agreements in effect prior to December 1, 1996, that refer specifically to the cost of a cable relocation, those agreements will be honored. The commission and authorized users may enter into new agreements for construction and maintenance of the fiberoptic network.</w:t>
      </w:r>
    </w:p>
    <w:p>
      <w:pPr>
        <w:spacing w:before="0" w:after="0"/>
        <w:ind w:left="120"/>
        <w:jc w:val="both"/>
      </w:pPr>
      <w:r>
        <w:rPr>
          <w:rFonts w:ascii="Times New Roman" w:hAnsi="Times New Roman"/>
          <w:b w:val="false"/>
          <w:i w:val="false"/>
          <w:color w:val="000000"/>
          <w:sz w:val="22"/>
        </w:rPr>
        <w:t xml:space="preserve">This chapter is intended to implement Iowa Code sections </w:t>
      </w:r>
      <w:hyperlink r:id="rId6">
        <w:r>
          <w:rPr>
            <w:rStyle w:val="Hyperlink"/>
            <w:rFonts w:ascii="Times New Roman" w:hAnsi="Times New Roman"/>
            <w:b w:val="false"/>
            <w:i w:val="false"/>
            <w:color w:val="000000"/>
            <w:sz w:val="22"/>
          </w:rPr>
          <w:t>8D.3(3)</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8D.13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3/21/97, Notice 1/15/97—published 4/9/97, effective 5/14/97]</w:t>
      </w:r>
    </w:p>
    <w:p>
      <w:pPr>
        <w:spacing w:before="0" w:after="0"/>
        <w:ind w:left="120"/>
        <w:jc w:val="center"/>
      </w:pPr>
      <w:r>
        <w:rPr>
          <w:rFonts w:ascii="Times New Roman" w:hAnsi="Times New Roman"/>
          <w:b w:val="false"/>
          <w:i w:val="false"/>
          <w:color w:val="000000"/>
          <w:sz w:val="21"/>
        </w:rPr>
        <w:t>[Filed 12/1/04, Notice 10/13/04—published 12/22/04, effective 1/26/05]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51.13.1.pdf" Type="http://schemas.openxmlformats.org/officeDocument/2006/relationships/hyperlink" Id="rId5"/>
    <Relationship TargetMode="External" Target="https://www.legis.iowa.gov/docs/ico/chapter/8D.3.pdf" Type="http://schemas.openxmlformats.org/officeDocument/2006/relationships/hyperlink" Id="rId6"/>
    <Relationship TargetMode="External" Target="https://www.legis.iowa.gov/docs/ico/chapter/8D.1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