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2/11/09, see 661—Ch 25]</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Scope.</w:t>
      </w:r>
      <w:r>
        <w:rPr>
          <w:rFonts w:ascii="Times New Roman" w:hAnsi="Times New Roman"/>
          <w:b w:val="false"/>
          <w:i w:val="false"/>
          <w:color w:val="000000"/>
          <w:sz w:val="22"/>
        </w:rPr>
        <w:t xml:space="preserve"> These rules are to provide notice of how the department keeps records and what the procedures are for access by the public. Nothing in these rules affects the access of information by law enforcement agencies, agencies of government or persons authorized by chapter </w:t>
      </w:r>
      <w:hyperlink r:id="rId5">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of the Iowa Code to receive information.</w:t>
      </w:r>
    </w:p>
    <w:p>
      <w:pPr>
        <w:spacing w:before="0" w:after="0"/>
        <w:ind w:left="120"/>
        <w:jc w:val="both"/>
      </w:pPr>
      <w:r>
        <w:rPr>
          <w:rFonts w:ascii="Times New Roman" w:hAnsi="Times New Roman"/>
          <w:b/>
          <w:i w:val="false"/>
          <w:color w:val="000000"/>
          <w:sz w:val="22"/>
        </w:rPr>
        <w:t>661—80.1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public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661—80.2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661—80.3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661—80.4</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Procedures for access to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661—80.9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661—80.11</w:t>
      </w:r>
      <w:r>
        <w:rPr>
          <w:rFonts w:ascii="Times New Roman" w:hAnsi="Times New Roman"/>
          <w:b/>
          <w:i w:val="false"/>
          <w:color w:val="000000"/>
          <w:sz w:val="22"/>
        </w:rPr>
        <w:t xml:space="preserve">(17A,22) </w:t>
      </w:r>
      <w:r>
        <w:rPr>
          <w:rFonts w:ascii="Times New Roman" w:hAnsi="Times New Roman"/>
          <w:b/>
          <w:i w:val="false"/>
          <w:color w:val="000000"/>
          <w:sz w:val="22"/>
        </w:rPr>
        <w:t xml:space="preserve">Records retention manual.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661—80.12</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All departmental data processing systems that have common data elements can potentially match, collate or compare personally identifiable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7562B</w:t>
      </w:r>
      <w:r>
        <w:rPr>
          <w:rFonts w:ascii="Times New Roman" w:hAnsi="Times New Roman"/>
          <w:b w:val="false"/>
          <w:i w:val="false"/>
          <w:color w:val="000000"/>
          <w:sz w:val="16"/>
        </w:rPr>
        <w:t>, IAB 2/11/09, effective 4/1/09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661—80.13</w:t>
      </w:r>
      <w:r>
        <w:rPr>
          <w:rFonts w:ascii="Times New Roman" w:hAnsi="Times New Roman"/>
          <w:b/>
          <w:i w:val="false"/>
          <w:color w:val="000000"/>
          <w:sz w:val="22"/>
        </w:rPr>
        <w:t xml:space="preserve">(22)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661—80.14</w:t>
      </w:r>
      <w:r>
        <w:rPr>
          <w:rFonts w:ascii="Times New Roman" w:hAnsi="Times New Roman"/>
          <w:b/>
          <w:i w:val="false"/>
          <w:color w:val="000000"/>
          <w:sz w:val="22"/>
        </w:rPr>
        <w:t xml:space="preserve">(252J) </w:t>
      </w:r>
      <w:r>
        <w:rPr>
          <w:rFonts w:ascii="Times New Roman" w:hAnsi="Times New Roman"/>
          <w:b/>
          <w:i w:val="false"/>
          <w:color w:val="000000"/>
          <w:sz w:val="22"/>
        </w:rPr>
        <w:t xml:space="preserve">Release of confidential licensing information for child support recovery purposes.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661—80.15</w:t>
      </w:r>
      <w:r>
        <w:rPr>
          <w:rFonts w:ascii="Times New Roman" w:hAnsi="Times New Roman"/>
          <w:b/>
          <w:i w:val="false"/>
          <w:color w:val="000000"/>
          <w:sz w:val="22"/>
        </w:rPr>
        <w:t xml:space="preserve">(22,80F) </w:t>
      </w:r>
      <w:r>
        <w:rPr>
          <w:rFonts w:ascii="Times New Roman" w:hAnsi="Times New Roman"/>
          <w:b/>
          <w:i w:val="false"/>
          <w:color w:val="000000"/>
          <w:sz w:val="22"/>
        </w:rPr>
        <w:t xml:space="preserve">Release of official photographs of or personal information about employees.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80F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4/29/88, Notice 3/23/88—published 5/18/88, effective 7/1/88]</w:t>
      </w:r>
    </w:p>
    <w:p>
      <w:pPr>
        <w:spacing w:before="0" w:after="0"/>
        <w:ind w:left="120"/>
        <w:jc w:val="center"/>
      </w:pPr>
      <w:r>
        <w:rPr>
          <w:rFonts w:ascii="Times New Roman" w:hAnsi="Times New Roman"/>
          <w:b w:val="false"/>
          <w:i w:val="false"/>
          <w:color w:val="000000"/>
          <w:sz w:val="21"/>
        </w:rPr>
        <w:t>[Filed 7/25/96, Notice 6/19/96—published 8/14/96, effective 10/1/96]</w:t>
      </w:r>
    </w:p>
    <w:p>
      <w:pPr>
        <w:spacing w:before="0" w:after="0"/>
        <w:ind w:left="120"/>
        <w:jc w:val="center"/>
      </w:pPr>
      <w:r>
        <w:rPr>
          <w:rFonts w:ascii="Times New Roman" w:hAnsi="Times New Roman"/>
          <w:b w:val="false"/>
          <w:i w:val="false"/>
          <w:color w:val="000000"/>
          <w:sz w:val="21"/>
        </w:rPr>
        <w:t>[Filed emergency 6/25/07—published 7/18/07, effective 7/1/07]</w:t>
      </w:r>
    </w:p>
    <w:p>
      <w:pPr>
        <w:spacing w:before="0" w:after="0"/>
        <w:ind w:left="120"/>
        <w:jc w:val="center"/>
      </w:pPr>
      <w:r>
        <w:rPr>
          <w:rFonts w:ascii="Times New Roman" w:hAnsi="Times New Roman"/>
          <w:b w:val="false"/>
          <w:i w:val="false"/>
          <w:color w:val="000000"/>
          <w:sz w:val="21"/>
        </w:rPr>
        <w:t>[Filed ARC 7562B</w:t>
      </w:r>
      <w:r>
        <w:rPr>
          <w:rFonts w:ascii="Times New Roman" w:hAnsi="Times New Roman"/>
          <w:b w:val="false"/>
          <w:i w:val="false"/>
          <w:color w:val="000000"/>
          <w:sz w:val="21"/>
        </w:rPr>
        <w:t xml:space="preserve"> (Notice ARC 6916B, IAB 7/2/08)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6230C</w:t>
      </w:r>
      <w:r>
        <w:rPr>
          <w:rFonts w:ascii="Times New Roman" w:hAnsi="Times New Roman"/>
          <w:b w:val="false"/>
          <w:i w:val="false"/>
          <w:color w:val="000000"/>
          <w:sz w:val="21"/>
        </w:rPr>
        <w:t xml:space="preserve"> (Notice ARC 6052C, IAB 11/17/21)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80F.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