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120</w:t>
      </w:r>
    </w:p>
    <w:p>
      <w:pPr>
        <w:spacing w:before="0" w:after="0"/>
        <w:ind w:left="120"/>
        <w:jc w:val="center"/>
      </w:pPr>
      <w:r>
        <w:rPr>
          <w:rFonts w:ascii="Times New Roman" w:hAnsi="Times New Roman"/>
          <w:b w:val="false"/>
          <w:i w:val="false"/>
          <w:color w:val="000000"/>
          <w:sz w:val="21"/>
        </w:rPr>
        <w:t>CHILD CARE HOMES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This chapter establishes procedures for child care homes that have a child care assistance provider agreement to receive child care assistance funds. Included are application and renewal procedures, standards for providers, and procedures for compliance checks and complaint investigations.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w:t>
      </w:r>
      <w:r>
        <w:rPr>
          <w:rFonts w:ascii="Times New Roman" w:hAnsi="Times New Roman"/>
          <w:b w:val="false"/>
          <w:i w:val="false"/>
          <w:color w:val="000000"/>
          <w:sz w:val="22"/>
        </w:rPr>
        <w:t>means a person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means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person 12 years of age or younger.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13 years of age or older but younger than 19 years of age who has a developmental disability, as defined under the federal Developmental Disabilities Assistance and Bill of Rights Act of 2000, Public Law No. 106-402, codified in 42 U.S.C. 15002(8).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w:t>
      </w:r>
      <w:r>
        <w:rPr>
          <w:rFonts w:ascii="Times New Roman" w:hAnsi="Times New Roman"/>
          <w:b w:val="false"/>
          <w:i w:val="false"/>
          <w:color w:val="000000"/>
          <w:sz w:val="22"/>
        </w:rPr>
        <w:t>means the care, supervision, or guidance of a child by a person other than the child’s parent, guardian, or custodian for periods of less than 24 hours per day per child on a regular basis. “Child care” shall not mean special activity programs that meet on a regular basis such as music or dance classes, organized athletics or sports programs, scouting programs, or hobby or craft classes or clubs.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“facility” </w:t>
      </w:r>
      <w:r>
        <w:rPr>
          <w:rFonts w:ascii="Times New Roman" w:hAnsi="Times New Roman"/>
          <w:b w:val="false"/>
          <w:i w:val="false"/>
          <w:color w:val="000000"/>
          <w:sz w:val="22"/>
        </w:rPr>
        <w:t>means a child care center, a preschool, or a registered child development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care home” </w:t>
      </w:r>
      <w:r>
        <w:rPr>
          <w:rFonts w:ascii="Times New Roman" w:hAnsi="Times New Roman"/>
          <w:b w:val="false"/>
          <w:i w:val="false"/>
          <w:color w:val="000000"/>
          <w:sz w:val="22"/>
        </w:rPr>
        <w:t xml:space="preserve">means a person or program providing child care to any of the following children at any one time that is not registered to provide child care under this chapter, as authorized under Iowa Code section </w:t>
      </w:r>
      <w:hyperlink r:id="rId5">
        <w:r>
          <w:rPr>
            <w:rStyle w:val="Hyperlink"/>
            <w:rFonts w:ascii="Times New Roman" w:hAnsi="Times New Roman"/>
            <w:b w:val="false"/>
            <w:i w:val="false"/>
            <w:color w:val="000000"/>
            <w:sz w:val="22"/>
          </w:rPr>
          <w:t>237A.3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Five or fewer children.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Six or fewer children, if at least one of the children is school-aged.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development home” </w:t>
      </w:r>
      <w:r>
        <w:rPr>
          <w:rFonts w:ascii="Times New Roman" w:hAnsi="Times New Roman"/>
          <w:b w:val="false"/>
          <w:i w:val="false"/>
          <w:color w:val="000000"/>
          <w:sz w:val="22"/>
        </w:rPr>
        <w:t>means a person or program registered under this chapter that may provide child care to seven or more children at any one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“Involvement with child care” </w:t>
      </w:r>
      <w:r>
        <w:rPr>
          <w:rFonts w:ascii="Times New Roman" w:hAnsi="Times New Roman"/>
          <w:b w:val="false"/>
          <w:i w:val="false"/>
          <w:color w:val="000000"/>
          <w:sz w:val="22"/>
        </w:rPr>
        <w:t>means licensed or registered as a child care facility, employed in a child care facility, residing in a child care facility, receiving public funding for providing child care, providing child care as a child care home provider, or residing in a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“Parent” </w:t>
      </w:r>
      <w:r>
        <w:rPr>
          <w:rFonts w:ascii="Times New Roman" w:hAnsi="Times New Roman"/>
          <w:b w:val="false"/>
          <w:i w:val="false"/>
          <w:color w:val="000000"/>
          <w:sz w:val="22"/>
        </w:rPr>
        <w:t>means parent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subject to an evaluation” </w:t>
      </w:r>
      <w:r>
        <w:rPr>
          <w:rFonts w:ascii="Times New Roman" w:hAnsi="Times New Roman"/>
          <w:b w:val="false"/>
          <w:i w:val="false"/>
          <w:color w:val="000000"/>
          <w:sz w:val="22"/>
        </w:rPr>
        <w:t>means a person who has committed a transgression and who is described by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is being considered for registration or is registered.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person is being considered by a child care facility for employment involving direct responsibility for a child or with access to a child when the child is alone, or the person is employed with such responsibilities.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will reside or resides in a child care facility.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person has applied for or receives public funding for providing child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person will reside or resides in a child care home that is not registered but that receives public funding for providing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means the person or program that applies to receive payment from the child care assistance program to provide child care and is approved as a child care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means grandparents, great grandparents, aunts, uncles, and siblings living in a separate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“School” </w:t>
      </w:r>
      <w:r>
        <w:rPr>
          <w:rFonts w:ascii="Times New Roman" w:hAnsi="Times New Roman"/>
          <w:b w:val="false"/>
          <w:i w:val="false"/>
          <w:color w:val="000000"/>
          <w:sz w:val="22"/>
        </w:rPr>
        <w:t>means kindergarten or a higher grade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“Transgression” </w:t>
      </w:r>
      <w:r>
        <w:rPr>
          <w:rFonts w:ascii="Times New Roman" w:hAnsi="Times New Roman"/>
          <w:b w:val="false"/>
          <w:i w:val="false"/>
          <w:color w:val="000000"/>
          <w:sz w:val="22"/>
        </w:rPr>
        <w:t>means the existence of any of the following in a person’s record: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Conviction of a crime.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record of having committed founded child or dependent adult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Listing in the sex offender registry established under Iowa Code chapter </w:t>
      </w:r>
      <w:hyperlink r:id="rId6">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record of having committed a public or civil offense.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Department revocation or denial of a child care facility registration or license due to the person’s continued or repeated failure to operate the child care facility in compliance with licensing and registration laws and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3556C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441—120.2</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for payment. </w:t>
      </w:r>
      <w:r>
        <w:rPr>
          <w:rFonts w:ascii="Times New Roman" w:hAnsi="Times New Roman"/>
          <w:b w:val="false"/>
          <w:i w:val="false"/>
          <w:color w:val="000000"/>
          <w:sz w:val="22"/>
        </w:rPr>
        <w:t>A provider shall apply for payment on Form 470-2890, Payment Application for Nonregistered Providers, provided by the department’s local office or on the department’s website. The provider shall also use Form 470-2890 to inform the department of any changes in circumstances that would affect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441—120.3</w:t>
      </w:r>
      <w:r>
        <w:rPr>
          <w:rFonts w:ascii="Times New Roman" w:hAnsi="Times New Roman"/>
          <w:b/>
          <w:i w:val="false"/>
          <w:color w:val="000000"/>
          <w:sz w:val="22"/>
        </w:rPr>
        <w:t xml:space="preserve">(237A) </w:t>
      </w:r>
      <w:r>
        <w:rPr>
          <w:rFonts w:ascii="Times New Roman" w:hAnsi="Times New Roman"/>
          <w:b/>
          <w:i w:val="false"/>
          <w:color w:val="000000"/>
          <w:sz w:val="22"/>
        </w:rPr>
        <w:t xml:space="preserve">Renewal of agreement. </w:t>
      </w:r>
      <w:r>
        <w:rPr>
          <w:rFonts w:ascii="Times New Roman" w:hAnsi="Times New Roman"/>
          <w:b w:val="false"/>
          <w:i w:val="false"/>
          <w:color w:val="000000"/>
          <w:sz w:val="22"/>
        </w:rPr>
        <w:t>Renewal of the child care assistance provider agreement shall be completed every 24 months. To request renewal, a provider shall submit Form 470-2890, Payment Application for Nonregistered Providers, and training completion evidence either through certificates or as updated in Iowa’s early childhood and school age professional workforce registry (i-PoWeR). The agreement renewal process shall include completion of child abuse, sex offender, and criminal record checks.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441—120.4</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Compliance checks. </w:t>
      </w:r>
      <w:r>
        <w:rPr>
          <w:rFonts w:ascii="Times New Roman" w:hAnsi="Times New Roman"/>
          <w:b w:val="false"/>
          <w:i w:val="false"/>
          <w:color w:val="000000"/>
          <w:sz w:val="22"/>
        </w:rPr>
        <w:t>An unannounced compliance visit shall be conducted not less than annually to check for compliance with health, safety, and fire standards. Completed evaluation checklists shall be placed in agency files.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441—120.5</w:t>
      </w:r>
      <w:r>
        <w:rPr>
          <w:rFonts w:ascii="Times New Roman" w:hAnsi="Times New Roman"/>
          <w:b/>
          <w:i w:val="false"/>
          <w:color w:val="000000"/>
          <w:sz w:val="22"/>
        </w:rPr>
        <w:t xml:space="preserve">(237A) </w:t>
      </w:r>
      <w:r>
        <w:rPr>
          <w:rFonts w:ascii="Times New Roman" w:hAnsi="Times New Roman"/>
          <w:b/>
          <w:i w:val="false"/>
          <w:color w:val="000000"/>
          <w:sz w:val="22"/>
        </w:rPr>
        <w:t xml:space="preserve">Parental access. </w:t>
      </w:r>
      <w:r>
        <w:rPr>
          <w:rFonts w:ascii="Times New Roman" w:hAnsi="Times New Roman"/>
          <w:b w:val="false"/>
          <w:i w:val="false"/>
          <w:color w:val="000000"/>
          <w:sz w:val="22"/>
        </w:rPr>
        <w:t>Parents shall be afforded unlimited access to their children and to the people caring for their children during the normal hours of operation or whenever their children are in the care of the child care home, unless parental contact is prohibited by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441—120.6</w:t>
      </w:r>
      <w:r>
        <w:rPr>
          <w:rFonts w:ascii="Times New Roman" w:hAnsi="Times New Roman"/>
          <w:b/>
          <w:i w:val="false"/>
          <w:color w:val="000000"/>
          <w:sz w:val="22"/>
        </w:rPr>
        <w:t xml:space="preserve">(237A) </w:t>
      </w:r>
      <w:r>
        <w:rPr>
          <w:rFonts w:ascii="Times New Roman" w:hAnsi="Times New Roman"/>
          <w:b/>
          <w:i w:val="false"/>
          <w:color w:val="000000"/>
          <w:sz w:val="22"/>
        </w:rPr>
        <w:t xml:space="preserve">Number of children. </w:t>
      </w:r>
      <w:r>
        <w:rPr>
          <w:rFonts w:ascii="Times New Roman" w:hAnsi="Times New Roman"/>
          <w:b w:val="false"/>
          <w:i w:val="false"/>
          <w:color w:val="000000"/>
          <w:sz w:val="22"/>
        </w:rPr>
        <w:t>The number of children in a child care home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120.6(1)</w:t>
      </w:r>
      <w:r>
        <w:rPr>
          <w:rFonts w:ascii="Times New Roman" w:hAnsi="Times New Roman"/>
          <w:b w:val="false"/>
          <w:i w:val="false"/>
          <w:color w:val="000000"/>
          <w:sz w:val="22"/>
        </w:rPr>
        <w:t> </w:t>
      </w:r>
      <w:r>
        <w:rPr>
          <w:rFonts w:ascii="Times New Roman" w:hAnsi="Times New Roman"/>
          <w:b w:val="false"/>
          <w:i/>
          <w:color w:val="000000"/>
          <w:sz w:val="22"/>
        </w:rPr>
        <w:t xml:space="preserve">Limit. </w:t>
      </w:r>
      <w:r>
        <w:rPr>
          <w:rFonts w:ascii="Times New Roman" w:hAnsi="Times New Roman"/>
          <w:b w:val="false"/>
          <w:i w:val="false"/>
          <w:color w:val="000000"/>
          <w:sz w:val="22"/>
        </w:rPr>
        <w:t>No more than five children shall receive care at any one time in the single-family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120.6(2)</w:t>
      </w:r>
      <w:r>
        <w:rPr>
          <w:rFonts w:ascii="Times New Roman" w:hAnsi="Times New Roman"/>
          <w:b w:val="false"/>
          <w:i w:val="false"/>
          <w:color w:val="000000"/>
          <w:sz w:val="22"/>
        </w:rPr>
        <w:t> </w:t>
      </w:r>
      <w:r>
        <w:rPr>
          <w:rFonts w:ascii="Times New Roman" w:hAnsi="Times New Roman"/>
          <w:b w:val="false"/>
          <w:i/>
          <w:color w:val="000000"/>
          <w:sz w:val="22"/>
        </w:rPr>
        <w:t xml:space="preserve">Children counted. </w:t>
      </w:r>
      <w:r>
        <w:rPr>
          <w:rFonts w:ascii="Times New Roman" w:hAnsi="Times New Roman"/>
          <w:b w:val="false"/>
          <w:i w:val="false"/>
          <w:color w:val="000000"/>
          <w:sz w:val="22"/>
        </w:rPr>
        <w:t>To determine the number of children cared for at any one time in a child care home, each child present in the child care home shall be considered to be receiving care unless the child is described by one of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child’s parent, guardian, or custodian established or operates the child care home and either the child is attending school or the child receives child care full-time on a regular basis from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has been present in the child care home for more than 72 consecutive hours and meets the requirements of the exception listed above as though the person who established or operates the child care home is the child’s parent, guardian, or custodian.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441—120.7</w:t>
      </w:r>
      <w:r>
        <w:rPr>
          <w:rFonts w:ascii="Times New Roman" w:hAnsi="Times New Roman"/>
          <w:b/>
          <w:i w:val="false"/>
          <w:color w:val="000000"/>
          <w:sz w:val="22"/>
        </w:rPr>
        <w:t xml:space="preserve">(237A) </w:t>
      </w:r>
      <w:r>
        <w:rPr>
          <w:rFonts w:ascii="Times New Roman" w:hAnsi="Times New Roman"/>
          <w:b/>
          <w:i w:val="false"/>
          <w:color w:val="000000"/>
          <w:sz w:val="22"/>
        </w:rPr>
        <w:t xml:space="preserve">Provider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120.7(1)</w:t>
      </w: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Give careful supervision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Exchange information with the parent of each child frequently to enhance the quality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Give consistent, dependable care and be capable of handling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present at all times except when emergencies occur or an absence is planned, at which time care shall be provided by a department-approved substitute. When an absence is planned, the provider shall give parents at least 24 hours’ prior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free of the use of illegal drugs and shall not be under the influence of alcohol or of any prescription or nonprescription drug that could impair the provider’s ability to give careful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120.7(2)</w:t>
      </w:r>
      <w:r>
        <w:rPr>
          <w:rFonts w:ascii="Times New Roman" w:hAnsi="Times New Roman"/>
          <w:b w:val="false"/>
          <w:i w:val="false"/>
          <w:color w:val="000000"/>
          <w:sz w:val="22"/>
        </w:rPr>
        <w:t> </w:t>
      </w:r>
      <w:r>
        <w:rPr>
          <w:rFonts w:ascii="Times New Roman" w:hAnsi="Times New Roman"/>
          <w:b w:val="false"/>
          <w:i/>
          <w:color w:val="000000"/>
          <w:sz w:val="22"/>
        </w:rPr>
        <w:t xml:space="preserve">Substitutes. </w:t>
      </w:r>
      <w:r>
        <w:rPr>
          <w:rFonts w:ascii="Times New Roman" w:hAnsi="Times New Roman"/>
          <w:b w:val="false"/>
          <w:i w:val="false"/>
          <w:color w:val="000000"/>
          <w:sz w:val="22"/>
        </w:rPr>
        <w:t>The provider shall assume responsibility for providing adequate and appropriate supervision at all times when children are in attendance. Any designated substitute shall have the same responsibility for providing adequate and appropriate supervision. Ultimate responsibility for supervision shall be with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standards in this chapter regarding supervision and care of children shall apply to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emergency situations, the provider shall inform parents in advance of the planned use of a substitute.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substitute must be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Use of a substitute shall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more than 25 hours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additional period of up to two weeks 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written record of the number of hours care is provided by a substitute, including the date of the care and the name of the substitute.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441—120.8</w:t>
      </w:r>
      <w:r>
        <w:rPr>
          <w:rFonts w:ascii="Times New Roman" w:hAnsi="Times New Roman"/>
          <w:b/>
          <w:i w:val="false"/>
          <w:color w:val="000000"/>
          <w:sz w:val="22"/>
        </w:rPr>
        <w:t xml:space="preserve">(237A) </w:t>
      </w:r>
      <w:r>
        <w:rPr>
          <w:rFonts w:ascii="Times New Roman" w:hAnsi="Times New Roman"/>
          <w:b/>
          <w:i w:val="false"/>
          <w:color w:val="000000"/>
          <w:sz w:val="22"/>
        </w:rPr>
        <w:t xml:space="preserve">Standards. </w:t>
      </w:r>
      <w:r>
        <w:rPr>
          <w:rFonts w:ascii="Times New Roman" w:hAnsi="Times New Roman"/>
          <w:b w:val="false"/>
          <w:i w:val="false"/>
          <w:color w:val="000000"/>
          <w:sz w:val="22"/>
        </w:rPr>
        <w:t>Conditions in the home shall be safe, sanitary, and free of hazards. The provider shall certify that the child care home meets the following minimum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120.8(1)</w:t>
      </w:r>
      <w:r>
        <w:rPr>
          <w:rFonts w:ascii="Times New Roman" w:hAnsi="Times New Roman"/>
          <w:b w:val="false"/>
          <w:i w:val="false"/>
          <w:color w:val="000000"/>
          <w:sz w:val="22"/>
        </w:rPr>
        <w:t> </w:t>
      </w:r>
      <w:r>
        <w:rPr>
          <w:rFonts w:ascii="Times New Roman" w:hAnsi="Times New Roman"/>
          <w:b w:val="false"/>
          <w:i/>
          <w:color w:val="000000"/>
          <w:sz w:val="22"/>
        </w:rPr>
        <w:t xml:space="preserve">Facility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home shall have a nonpay, working landline or mobile telephone with emergency numbers posted for police, fire, ambulance, and the poison information center. The number for each child’s parent, for a responsible person who can be reached when the parent cannot, and for the child’s physician shall be written on paper and readily accessible by the telephone. The home must prominently display all emergency information, and all travel vehicles must have a paper copy of emergency parent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Electrical wiring shall be maintained, and all accessible electrical outlets shall be tamper-resistant outlets or shall be safely capped. Electrical cords shall be properly used. Improper use includes the running of cords under rugs, over hooks, or through door openings or other use that has been known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Combustible materials shall be kept a minimum of three feet away from furnaces, stoves, water heaters, and gas dryers.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Approved safety gates at stairways and doors shall be provided and used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laboratory analysis of a private water supply shall be conducted to show satisfactory bacteriological quality. When children under the age of two are to be cared for, the analysis shall include a nitrate analysis. When private water supplies are determined unsuitable for drinking, commercially bottled water or water treated through a process approved by the health department or designee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safety barrier shall surround any heating stove or heating element, in order to prevent burns.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2A 10BC-rated fire extinguisher located in a visible and readily accessible place on each child-occupied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home shall have at least one single-station, battery-operated, UL-approved smoke detector in each child-occupied room and at the top of every stairway. Each smoke detector shall be installed according to manufacturer’s recommendations. The provider shall test each smoke detector monthly and keep a record of testing for inspection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Smoking and the use of tobacco products shall be prohibited at all times in the home and in every vehicle in which children receiving care in the home are transported. Smoking and the use of tobacco products shall be prohibited in the outdoor play area during the home’s hours of operation. “No smoking” signs shall be posted at every entrance of the child care home and in every vehicle used to transport children. All signs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telephone number for reporting of complaints,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Internet address of the department of public health (</w:t>
      </w:r>
      <w:hyperlink r:id="rId7">
        <w:r>
          <w:rPr>
            <w:rStyle w:val="Hyperlink"/>
            <w:rFonts w:ascii="Times New Roman" w:hAnsi="Times New Roman"/>
            <w:b w:val="false"/>
            <w:i w:val="false"/>
            <w:color w:val="000000"/>
            <w:sz w:val="22"/>
            <w:u w:val="single"/>
          </w:rPr>
          <w:t>smokefreeair.iowa.gov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Homes served by a private sewage disposal system shall be operated and maintained to ensure the system is properly treating the wastewater and not creating an unsanitary condition in the environment. Discharge of untreated waste water from private sewage disposal systems is prohibited. Concerns about noncompliance shall be referred to the local county sanitarian.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provider operating in a facility built before 1978 shall assess and control lead hazards before being issued an initial child care assistance provider agreement or a renewal of the provider agreement. To comply with this requirement,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if painted surfaces on the interior or exterior of the facility are chipping, peeling, or cracking or in need of repair. Painted surfaces include walls, ceilings, windows, doors, stairs, and woodwork;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painted surfaces are in need of repair, hire an Iowa certified lead-safe renovator to make repairs or take training to become an Iowa certified lead-safe renovator. Iowa lead-safe renovators shall apply interim controls on any chipping, peeling, or cracking paint found, using lead-safe work methods in accordance with and as defined by department of public health rules at </w:t>
      </w:r>
      <w:hyperlink r:id="rId8">
        <w:r>
          <w:rPr>
            <w:rStyle w:val="Hyperlink"/>
            <w:rFonts w:ascii="Times New Roman" w:hAnsi="Times New Roman"/>
            <w:b w:val="false"/>
            <w:i w:val="false"/>
            <w:color w:val="000000"/>
            <w:sz w:val="22"/>
          </w:rPr>
          <w:t>641—Chapters 69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The child care home shall be located in a single-family residence that is owned, rented, or leased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 xml:space="preserve">Any driver who transports children for any purpose shall have a valid driver’s license and adequate motor vehicle insurance that authorizes the driver to operate the type of vehicle being driven. Child restraint devices shall be utilized in compliance with Iowa Code section </w:t>
      </w:r>
      <w:hyperlink r:id="rId1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Providers shall inform parents of the presence of any pet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dog or cat in the household shall undergo an annual health examination by a licensed veterinarian. Acceptable veterinary examinations shall be documented on Form 470-5153, Veterinary Health Certificate. This examination shall verify that the animal’s routine immunizations, particularly rabies, are current and that the animal shows no evidence of endoparasites (roundworms, hookworms, whipworms) and ectoparasites (fleas, mites, ticks, lice).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pet bird in the household shall be purchased from a dealer licensed by the Iowa department of agriculture and land stewardship and shall be examined by a veterinarian to verify that the bird is free of infectious diseases. Acceptable veterinary examinations shall be documented on Form 470-5153, Veterinary Health Certificate. Children shall not handle pet birds.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Aquariums shall be well maintained and installed in a manner that prevents children from accessing the water or pulling over a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animal waste shall be immediately removed from the children’s areas and properly disposed of. Children shall not perform any feeding or care of pets or cleanup of pet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 animals shall be allowed in the food preparation, food storage, or serving areas during food preparation and serving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Using an injury report form, the provider shall document all injuries that require first aid or medical care. The form shall be completed on the date of occurrence, shared with the parent, and maintained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Serious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Serious injuries, as defined in Iowa Code section </w:t>
      </w:r>
      <w:hyperlink r:id="rId11">
        <w:r>
          <w:rPr>
            <w:rStyle w:val="Hyperlink"/>
            <w:rFonts w:ascii="Times New Roman" w:hAnsi="Times New Roman"/>
            <w:b w:val="false"/>
            <w:i w:val="false"/>
            <w:color w:val="000000"/>
            <w:sz w:val="22"/>
          </w:rPr>
          <w:t>702.18</w:t>
        </w:r>
      </w:hyperlink>
      <w:r>
        <w:rPr>
          <w:rFonts w:ascii="Times New Roman" w:hAnsi="Times New Roman"/>
          <w:b w:val="false"/>
          <w:i w:val="false"/>
          <w:color w:val="000000"/>
          <w:sz w:val="22"/>
        </w:rPr>
        <w:t>, that occur in a child care home or when a child is in the care of child care home staff shall be reported to the department within 24 hours of the incident.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injuries shall be documented and information maintained in the child’s file as required by subrule 120.9(2).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120.8(2)</w:t>
      </w:r>
      <w:r>
        <w:rPr>
          <w:rFonts w:ascii="Times New Roman" w:hAnsi="Times New Roman"/>
          <w:b w:val="false"/>
          <w:i w:val="false"/>
          <w:color w:val="000000"/>
          <w:sz w:val="22"/>
        </w:rPr>
        <w:t> </w:t>
      </w:r>
      <w:r>
        <w:rPr>
          <w:rFonts w:ascii="Times New Roman" w:hAnsi="Times New Roman"/>
          <w:b w:val="false"/>
          <w:i/>
          <w:color w:val="000000"/>
          <w:sz w:val="22"/>
        </w:rPr>
        <w:t xml:space="preserve">Use of outdoor space.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safe outdoor play area shall be maintained in good condition throughout the year. The play area shall be fenced off when located on a busy thoroughfare or near a hazard which may be injurious to a child and shall have both sunshine and shade areas. The play area shall be kept free from litter, rubbish, and flammable materials and shall be free from contamination by the drainage or ponding of sewage, household waste, or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there is a swimming or wading pool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wading pool shall be drained daily and shall be inaccessible to children when it is not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aboveground or in-ground swimming pool that is not fenced shall be covered whenever the pool is not in use. The cover shall meet or exceed the ASTM International (formerly known as the American Society for Testing and Materials) specification intended to reduce the risk of drowning by inhibiting access to the water by children under five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uncovered aboveground swimming pool shall be enclosed with an approved fence that is nonclimbable and is at least four feet high.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uncovered in-ground swimming pool shall be enclosed with an approved fence that is nonclimbable and is at least four feet high and flush with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children are allowed to use an aboveground or in-ground swimming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permission from parents shall be available for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Equipment needed to rescue a child or adult shall be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accompany the children and provide constant supervision while the children use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child care provider shall complete training in cardiopulmonary resuscitation for infants, toddlers, and children, according to the criteria of the American Red Cross or the American Heart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120.8(3)</w:t>
      </w:r>
      <w:r>
        <w:rPr>
          <w:rFonts w:ascii="Times New Roman" w:hAnsi="Times New Roman"/>
          <w:b w:val="false"/>
          <w:i w:val="false"/>
          <w:color w:val="000000"/>
          <w:sz w:val="22"/>
        </w:rPr>
        <w:t> </w:t>
      </w:r>
      <w:r>
        <w:rPr>
          <w:rFonts w:ascii="Times New Roman" w:hAnsi="Times New Roman"/>
          <w:b w:val="false"/>
          <w:i/>
          <w:color w:val="000000"/>
          <w:sz w:val="22"/>
        </w:rPr>
        <w:t xml:space="preserve">Medications and hazardous materials.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medicines and poisonous, toxic, or otherwise unsafe materials shall be secured from access by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first-aid kit shall be available and easily accessible whenever children are in the child care home, in the outdoor play area, in vehicles used to transport children, and on field trips. The kit shall be sufficient to address first aid related to minor injury or trauma and shall be stored in an area inaccessible to children. The kit shall, at a minimum, include adhesive bandages, bottled water, disposable tweezers, and disposable plastic gloves.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Medications shall be given only with the parent’s or doctor’s written authorization. Each prescribed medication shall be accompanied by a physician’s or pharmacist’s direction. Both nonprescription and prescription medications shall be in the original container with directions intact and labeled with the child’s name. All medications shall be stored properly and, when refrigeration is required, shall be stored in a separate, covered container so as to prevent contamination of food or other medications. All medications shall be stored so they are inaccessible to children. Any medication administered to a child shall be recorded, and the record shall indicate the name of the medication, the date and time of administration, and the amount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Medications shall not be provided to a child if the provider has not completed preservice/orientation training that includes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shall establish procedures related to infectious disease control and handling of any bodily excrement or discharge or blood. Soiled diapers shall be stored in containers separate from other waste.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120.8(4)</w:t>
      </w:r>
      <w:r>
        <w:rPr>
          <w:rFonts w:ascii="Times New Roman" w:hAnsi="Times New Roman"/>
          <w:b w:val="false"/>
          <w:i w:val="false"/>
          <w:color w:val="000000"/>
          <w:sz w:val="22"/>
        </w:rPr>
        <w:t> </w:t>
      </w:r>
      <w:r>
        <w:rPr>
          <w:rFonts w:ascii="Times New Roman" w:hAnsi="Times New Roman"/>
          <w:b w:val="false"/>
          <w:i/>
          <w:color w:val="000000"/>
          <w:sz w:val="22"/>
        </w:rPr>
        <w:t xml:space="preserve">Emergency plans. </w:t>
      </w:r>
      <w:r>
        <w:rPr>
          <w:rFonts w:ascii="Times New Roman" w:hAnsi="Times New Roman"/>
          <w:b w:val="false"/>
          <w:i w:val="false"/>
          <w:color w:val="000000"/>
          <w:sz w:val="22"/>
        </w:rPr>
        <w:t>Emergency plans in case of man-made or natural disaster shall be written and posted by the primary and secondary exits. The plans shall clearly map building evacuation routes and tornado and flood shelter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and tornado drills shall be practiced monthly, and the provider shall keep documentation evidencing compliance with monthly practice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provider must have procedures in place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Evacuation to safely leave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Relocation to a common, safe location after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Shelter-in-place to take immediate shelter where the child is when it is unsafe to leave that location due to the emergent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Lockdown to protect children and providers from an external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 and plans for reunification with families.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Continuity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To address the needs of individual children, including those with functional or access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120.8(5)</w:t>
      </w:r>
      <w:r>
        <w:rPr>
          <w:rFonts w:ascii="Times New Roman" w:hAnsi="Times New Roman"/>
          <w:b w:val="false"/>
          <w:i w:val="false"/>
          <w:color w:val="000000"/>
          <w:sz w:val="22"/>
        </w:rPr>
        <w:t> </w:t>
      </w:r>
      <w:r>
        <w:rPr>
          <w:rFonts w:ascii="Times New Roman" w:hAnsi="Times New Roman"/>
          <w:b w:val="false"/>
          <w:i/>
          <w:color w:val="000000"/>
          <w:sz w:val="22"/>
        </w:rPr>
        <w:t xml:space="preserve">Safe sleep.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shall follow safe sleep practices as recommended by the American Academy of Pediatrics for infants under the age of one. Infant sleep shall conform to the following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shall always be placed on their backs for sleep.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shall be placed on a firm mattress with a tight fitted sheet that meets U.S. Consumer Product Safety Commission federal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Infants shall not be allowed to sleep on a bed, sofa, air mattress or other soft surface.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No toys, soft objects, stuffed animals, pillows, bumper pads, blankets, or loose bedding shall be allowed in the sleeping area with the infant.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No co-sleeping shall be allowed.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Sleeping infants shall be actively observed by sight and sound.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If an alternate sleeping position is needed, a signed physician or physician assistant authorization with statement of medical reason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child shall be allowed to sleep in any item not designed for sleeping including, but not limited to, an infant seat, car seat, swing, or bouncy seat.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crib or criblike furniture which has a waterproof mattress covering and sufficient bedding to enable a child to rest comfortably and which meets the current standards or recommendations from the Consumer Product Safety Commission or ASTM International for juvenile products shall be provided for each child under two years of age if developmentally appropriate. Crib railings shall be fully raised and secured when the child is in the crib. A crib or criblike furniture shall be provided for the number of children present at any one time. The home shall maintain all cribs or criblike furniture and bedding in a clean and sanitary manner. There shall be no restraining devices of any type used in cribs.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items used for sleeping must be used in compliance with manufacturer standards for age and weight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120.8(6)</w:t>
      </w: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Discipline shall conform to the following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Corporal punishment, including spanking, shaking and slapping,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Punishment that is humiliating or frightening or that causes pain or discomfort to the child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Punishment shall not be administered because of a child’s illness, or progress or lack of progress in toilet training, nor shall punishment or threat of punishment be associated with food or 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shall be subjected to verbal abuse, threats, or derogatory remarks about the child or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Discipline shall be designed to help the child develop self-control, self-esteem, and respect for the rights of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120.8(7)</w:t>
      </w:r>
      <w:r>
        <w:rPr>
          <w:rFonts w:ascii="Times New Roman" w:hAnsi="Times New Roman"/>
          <w:b w:val="false"/>
          <w:i w:val="false"/>
          <w:color w:val="000000"/>
          <w:sz w:val="22"/>
        </w:rPr>
        <w:t> </w:t>
      </w:r>
      <w:r>
        <w:rPr>
          <w:rFonts w:ascii="Times New Roman" w:hAnsi="Times New Roman"/>
          <w:b w:val="false"/>
          <w:i/>
          <w:color w:val="000000"/>
          <w:sz w:val="22"/>
        </w:rPr>
        <w:t xml:space="preserve">Meals and snacks.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Regular meals and snacks that are well-balanced and nourishing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may bring food to the child care home for their own consumption but shall not be required to provide their own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sanitary drinking water shall be readily available to children in indoor and outdoor areas, throughout the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3096C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3556C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5488C</w:t>
      </w:r>
      <w:r>
        <w:rPr>
          <w:rFonts w:ascii="Times New Roman" w:hAnsi="Times New Roman"/>
          <w:b w:val="false"/>
          <w:i w:val="false"/>
          <w:color w:val="000000"/>
          <w:sz w:val="16"/>
        </w:rPr>
        <w:t>, IAB 3/10/21, effective 5/1/21</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441—120.9</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Children’s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120.9(1)</w:t>
      </w:r>
      <w:r>
        <w:rPr>
          <w:rFonts w:ascii="Times New Roman" w:hAnsi="Times New Roman"/>
          <w:b w:val="false"/>
          <w:i w:val="false"/>
          <w:color w:val="000000"/>
          <w:sz w:val="22"/>
        </w:rPr>
        <w:t> </w:t>
      </w:r>
      <w:r>
        <w:rPr>
          <w:rFonts w:ascii="Times New Roman" w:hAnsi="Times New Roman"/>
          <w:b w:val="false"/>
          <w:i w:val="false"/>
          <w:color w:val="000000"/>
          <w:sz w:val="22"/>
        </w:rPr>
        <w:t>An individual file for each child shall be maintained and updated annually or when the provider becomes aware of changes.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120.9(2)</w:t>
      </w:r>
      <w:r>
        <w:rPr>
          <w:rFonts w:ascii="Times New Roman" w:hAnsi="Times New Roman"/>
          <w:b w:val="false"/>
          <w:i w:val="false"/>
          <w:color w:val="000000"/>
          <w:sz w:val="22"/>
        </w:rPr>
        <w:t> </w:t>
      </w:r>
      <w:r>
        <w:rPr>
          <w:rFonts w:ascii="Times New Roman" w:hAnsi="Times New Roman"/>
          <w:b w:val="false"/>
          <w:i w:val="false"/>
          <w:color w:val="000000"/>
          <w:sz w:val="22"/>
        </w:rPr>
        <w:t>The file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including, at a minimum, the child’s name and birth date; the parent’s name, address and telephone number; the special needs of the child; and the parent’s work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contact information including, at a minimum, where the parent can be reached, the name, street address, city and telephone number of the child’s regular source of health care, and the name, telephone number, and relationship to the child of another adult available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signed medical consent from the parent authorizing emergency medical and dental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admission physical examination report signed by a licensed medical doctor, doctor of osteopathy, chiropractor, physician’s assistant or advanced registered nurse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children under the age of six, a statement of health condition signed by a licensed medical doctor, doctor of osteopathy, chiropractor, physician’s assistant or advanced registered nurse practitioner submitted annually from the date of the admission physical examination. For a child who is enrolled in school, a statement of health status signed by the parent or legal guardian may be substituted for the statement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that is signed by the parent and names persons authorized to pick up the child. The authorization shall include the name, telephone number, and relationship of the authorized person to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signed and dated immunization certificate provided by the Iowa department of public health. For the school-age child, a copy of the most recent immunization record shall be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any child with allergies, a written emergency plan in case of an allergic reaction. A copy of this information shall accompany the child if the child leaves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permission from the parent for the child to attend activities away from the child care home.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If the child meets the definition of homelessness as defined by Section 725(2) of the McKinney Vento Homeless Education Assistance Act, the family shall receive a 60-day grace period to obtain medical documentation.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 xml:space="preserve">; </w:t>
      </w:r>
      <w:r>
        <w:rPr>
          <w:rFonts w:ascii="Times New Roman" w:hAnsi="Times New Roman"/>
          <w:b/>
          <w:i w:val="false"/>
          <w:color w:val="000000"/>
          <w:sz w:val="16"/>
        </w:rPr>
        <w:t>ARC 6626C</w:t>
      </w:r>
      <w:r>
        <w:rPr>
          <w:rFonts w:ascii="Times New Roman" w:hAnsi="Times New Roman"/>
          <w:b w:val="false"/>
          <w:i w:val="false"/>
          <w:color w:val="000000"/>
          <w:sz w:val="16"/>
        </w:rPr>
        <w:t>, IAB 11/2/22, effective 3/1/23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441—120.10</w:t>
      </w:r>
      <w:r>
        <w:rPr>
          <w:rFonts w:ascii="Times New Roman" w:hAnsi="Times New Roman"/>
          <w:b/>
          <w:i w:val="false"/>
          <w:color w:val="000000"/>
          <w:sz w:val="22"/>
        </w:rPr>
        <w:t xml:space="preserve">(237A) </w:t>
      </w:r>
      <w:r>
        <w:rPr>
          <w:rFonts w:ascii="Times New Roman" w:hAnsi="Times New Roman"/>
          <w:b/>
          <w:i w:val="false"/>
          <w:color w:val="000000"/>
          <w:sz w:val="22"/>
        </w:rPr>
        <w:t xml:space="preserve">Professional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provider agreement, the provider shall complete minimum health and safety trainings, approved by the department, in all of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Prevention and control of infectious disease, including immunizations.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Prevention of sudden infant death syndrome and use of safe sleep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medication, consistent with standards for parental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Prevention of and response to emergencies due to food and allergic reactions.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Building and physical-premises safety, including identification of and protection from hazards that can cause bodily injury, such as electrical hazards, bodies of water, and vehicular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Prevention of shaken baby syndrome and abusive head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and response planning for emergencies resulting from a natural disaster or a human-caused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Handling and storage of hazardous materials and the appropriate disposal of biocontaminants.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Precautions in transporting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Child development, on or after August 1, 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issuance of a provider agreement, the provider shall complete two hours of Iowa’s training for mandatory reporting of child abuse as required by Iowa Code section </w:t>
      </w:r>
      <w:hyperlink r:id="rId12">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The provider shall maintain a valid certificate indicating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120.10(3)</w:t>
      </w:r>
      <w:r>
        <w:rPr>
          <w:rFonts w:ascii="Times New Roman" w:hAnsi="Times New Roman"/>
          <w:b w:val="false"/>
          <w:i w:val="false"/>
          <w:color w:val="000000"/>
          <w:sz w:val="22"/>
        </w:rPr>
        <w:t> </w:t>
      </w:r>
      <w:r>
        <w:rPr>
          <w:rFonts w:ascii="Times New Roman" w:hAnsi="Times New Roman"/>
          <w:b w:val="false"/>
          <w:i w:val="false"/>
          <w:color w:val="000000"/>
          <w:sz w:val="22"/>
        </w:rPr>
        <w:t>Prior to issuance of a provider agreement, the provider shall complete first-aid and cardiopulmonary resuscitation (CPR) training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by a nationally recognized training organization, such as the American Red Cross, American Heart Association, National Safety Council, American Safety and Health Institute or MEDIC First Aid or by an equivalent trainer using curriculum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CPR training shall include certification in infant and child CPR.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first-aid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a valid certificate indicating the date of CPR training and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120.10(4)</w:t>
      </w:r>
      <w:r>
        <w:rPr>
          <w:rFonts w:ascii="Times New Roman" w:hAnsi="Times New Roman"/>
          <w:b w:val="false"/>
          <w:i w:val="false"/>
          <w:color w:val="000000"/>
          <w:sz w:val="22"/>
        </w:rPr>
        <w:t> </w:t>
      </w:r>
      <w:r>
        <w:rPr>
          <w:rFonts w:ascii="Times New Roman" w:hAnsi="Times New Roman"/>
          <w:b w:val="false"/>
          <w:i w:val="false"/>
          <w:color w:val="000000"/>
          <w:sz w:val="22"/>
        </w:rPr>
        <w:t>Minimum health and safety training may be required if content has significant changes which warrant that the training be renewed.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120.10(5)</w:t>
      </w:r>
      <w:r>
        <w:rPr>
          <w:rFonts w:ascii="Times New Roman" w:hAnsi="Times New Roman"/>
          <w:b w:val="false"/>
          <w:i w:val="false"/>
          <w:color w:val="000000"/>
          <w:sz w:val="22"/>
        </w:rPr>
        <w:t> </w:t>
      </w:r>
      <w:r>
        <w:rPr>
          <w:rFonts w:ascii="Times New Roman" w:hAnsi="Times New Roman"/>
          <w:b w:val="false"/>
          <w:i w:val="false"/>
          <w:color w:val="000000"/>
          <w:sz w:val="22"/>
        </w:rPr>
        <w:t>Approved substitutes must have certification or other documentation that minimum health and safety training has been completed in compliance with 441—subrule 110.10(1) within three months of a substitute’s hiring or before a substitute provides care,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120.10(6)</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each two-year provider agreement period, the provider shall receive a minimum of six hours of training. A provider shall not use a specific training or class to meet minimum continuing education requirements more than one time every five years.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Training shall be completed from one or more of the following content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Planning a safe, healthy learning environment (includes nutrition).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Steps to advance children’s physical and intellectual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Positive ways to support children’s social and emotional development (includes guidance and discipline).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Strategies to establish productive relationships with families (includes communication skills and cross-cultural competence).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Strategies to manage an effective program operation (includes business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Maintaining a commitment to professionalism.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Observing and recording children’s behavior.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Principles of child growth and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identified in </w:t>
      </w:r>
      <w:hyperlink r:id="rId13">
        <w:r>
          <w:rPr>
            <w:rStyle w:val="Hyperlink"/>
            <w:rFonts w:ascii="Times New Roman" w:hAnsi="Times New Roman"/>
            <w:b w:val="false"/>
            <w:i w:val="false"/>
            <w:color w:val="000000"/>
            <w:sz w:val="22"/>
          </w:rPr>
          <w:t>subrule 120.10(1)</w:t>
        </w:r>
      </w:hyperlink>
      <w:r>
        <w:rPr>
          <w:rFonts w:ascii="Times New Roman" w:hAnsi="Times New Roman"/>
          <w:b w:val="false"/>
          <w:i w:val="false"/>
          <w:color w:val="000000"/>
          <w:sz w:val="22"/>
        </w:rPr>
        <w:t xml:space="preserve"> may be counted toward the total six hours of required training only at the initial time in which the training is received.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care home provider operating under this chapter that meets the definition of “relative” as defined in rule </w:t>
      </w:r>
      <w:hyperlink r:id="rId14">
        <w:r>
          <w:rPr>
            <w:rStyle w:val="Hyperlink"/>
            <w:rFonts w:ascii="Times New Roman" w:hAnsi="Times New Roman"/>
            <w:b w:val="false"/>
            <w:i w:val="false"/>
            <w:color w:val="000000"/>
            <w:sz w:val="22"/>
          </w:rPr>
          <w:t>441—120.1</w:t>
        </w:r>
      </w:hyperlink>
      <w:r>
        <w:rPr>
          <w:rFonts w:ascii="Times New Roman" w:hAnsi="Times New Roman"/>
          <w:b w:val="false"/>
          <w:i w:val="false"/>
          <w:color w:val="000000"/>
          <w:sz w:val="22"/>
        </w:rPr>
        <w:t>(237A) shall be exempt from the training requirements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120.10(7)</w:t>
      </w:r>
      <w:r>
        <w:rPr>
          <w:rFonts w:ascii="Times New Roman" w:hAnsi="Times New Roman"/>
          <w:b w:val="false"/>
          <w:i w:val="false"/>
          <w:color w:val="000000"/>
          <w:sz w:val="22"/>
        </w:rPr>
        <w:t> </w:t>
      </w:r>
      <w:r>
        <w:rPr>
          <w:rFonts w:ascii="Times New Roman" w:hAnsi="Times New Roman"/>
          <w:b w:val="false"/>
          <w:i w:val="false"/>
          <w:color w:val="000000"/>
          <w:sz w:val="22"/>
        </w:rPr>
        <w:t>Approved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must be conducted by a trainer who is employed by or under contract with one of the following entities or who uses curriculum or training materials developed by or obtained with the written permission of one of the following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accredited university or college.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community college.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Iowa State University Extension.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 care resource and referral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An area education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regents’ center for early developmental education at the University of Northern Iowa.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(for health and safety, first-aid, and CPR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American Red Cross, American Heart Association, National Safety Council, American Safety and Health Institute or MEDIC First Aid (for first-aid and CPR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An Iowa professional association, including the Iowa Association for the Education of Young Children (Iowa AEYC), the Iowa Family Child Care Association (IFCCA), the Iowa After School Alliance, and the Iowa Head Start Association.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A national professional association, including the National Association for the Education of Young Children (NAEYC), the National Child Care Association (NCCA), the National Association for Family Child Care (NAFCC), the National After School Association, and the American Academy of Pediatrics.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and Adult Care Food Program (CACFP) and the Special Supplemental Nutrition Program for Women, Infants and Children (WIC).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department of public health, department of education, or department of human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 xml:space="preserve">Head Start agencies or the Head Start technical assistance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Organizations that are certified by the International Association for Continuing Education and Training (IACET).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Approved training shall be made available to Iowa child care providers through i-PoWeR.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not approve more than eight hours of training delivered in a single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randomly monitor any state-approved training for quality control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conducted with the provider during the hours of operation of the facility, during provider lunch hours, or while children are resting must not diminish the required ratio coverage. The provider shall not be actively engaged in care and supervision and simultaneously participate in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organization not approved by the department may submit a request for review to the department on Form 470-4528, Request for Child Care Training Approval. All approvals, unless otherwise specified, shall be valid for five years. The department shall issue its decision within 30 business days of receipt of a complete request.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120.10(8)</w:t>
      </w:r>
      <w:r>
        <w:rPr>
          <w:rFonts w:ascii="Times New Roman" w:hAnsi="Times New Roman"/>
          <w:b w:val="false"/>
          <w:i w:val="false"/>
          <w:color w:val="000000"/>
          <w:sz w:val="22"/>
        </w:rPr>
        <w:t> </w:t>
      </w:r>
      <w:r>
        <w:rPr>
          <w:rFonts w:ascii="Times New Roman" w:hAnsi="Times New Roman"/>
          <w:b w:val="false"/>
          <w:i w:val="false"/>
          <w:color w:val="000000"/>
          <w:sz w:val="22"/>
        </w:rPr>
        <w:t xml:space="preserve">Elements of training. Training provided to Iowa child care providers shall offer: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Instruction that is consistent with: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child care regulatory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early learning standards;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philosophy of developmentally appropriate practice as defined by the National Association for the Education of Young Children, the Program for Infant/Toddler Care, and the National Health and Safety Performance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Content equal to at least one contact hour of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opportunity for teacher-student interaction and timely feedback, including questions and answers and with evaluation of learning.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participant, a certificate of training that includes: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participant.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title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dates of 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content area addressed.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training organization.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of the instructor.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number of contact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3095C</w:t>
      </w:r>
      <w:r>
        <w:rPr>
          <w:rFonts w:ascii="Times New Roman" w:hAnsi="Times New Roman"/>
          <w:b w:val="false"/>
          <w:i w:val="false"/>
          <w:color w:val="000000"/>
          <w:sz w:val="16"/>
        </w:rPr>
        <w:t>, IAB 6/7/17, effective 8/1/17</w:t>
      </w:r>
      <w:r>
        <w:rPr>
          <w:rFonts w:ascii="Times New Roman" w:hAnsi="Times New Roman"/>
          <w:b w:val="false"/>
          <w:i w:val="false"/>
          <w:color w:val="000000"/>
          <w:sz w:val="16"/>
        </w:rPr>
        <w:t xml:space="preserve">; </w:t>
      </w:r>
      <w:r>
        <w:rPr>
          <w:rFonts w:ascii="Times New Roman" w:hAnsi="Times New Roman"/>
          <w:b/>
          <w:i w:val="false"/>
          <w:color w:val="000000"/>
          <w:sz w:val="16"/>
        </w:rPr>
        <w:t>ARC 3556C</w:t>
      </w:r>
      <w:r>
        <w:rPr>
          <w:rFonts w:ascii="Times New Roman" w:hAnsi="Times New Roman"/>
          <w:b w:val="false"/>
          <w:i w:val="false"/>
          <w:color w:val="000000"/>
          <w:sz w:val="16"/>
        </w:rPr>
        <w:t>, IAB 1/3/18, effective 3/1/18</w:t>
      </w:r>
      <w:r>
        <w:rPr>
          <w:rFonts w:ascii="Times New Roman" w:hAnsi="Times New Roman"/>
          <w:b w:val="false"/>
          <w:i w:val="false"/>
          <w:color w:val="000000"/>
          <w:sz w:val="16"/>
        </w:rPr>
        <w:t xml:space="preserve">; </w:t>
      </w:r>
      <w:r>
        <w:rPr>
          <w:rFonts w:ascii="Times New Roman" w:hAnsi="Times New Roman"/>
          <w:b/>
          <w:i w:val="false"/>
          <w:color w:val="000000"/>
          <w:sz w:val="16"/>
        </w:rPr>
        <w:t>ARC 4753C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6023C</w:t>
      </w:r>
      <w:r>
        <w:rPr>
          <w:rFonts w:ascii="Times New Roman" w:hAnsi="Times New Roman"/>
          <w:b w:val="false"/>
          <w:i w:val="false"/>
          <w:color w:val="000000"/>
          <w:sz w:val="16"/>
        </w:rPr>
        <w:t>, IAB 11/3/21, effective 1/1/22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441—120.11</w:t>
      </w:r>
      <w:r>
        <w:rPr>
          <w:rFonts w:ascii="Times New Roman" w:hAnsi="Times New Roman"/>
          <w:b/>
          <w:i w:val="false"/>
          <w:color w:val="000000"/>
          <w:sz w:val="22"/>
        </w:rPr>
        <w:t xml:space="preserve">(237A) </w:t>
      </w:r>
      <w:r>
        <w:rPr>
          <w:rFonts w:ascii="Times New Roman" w:hAnsi="Times New Roman"/>
          <w:b/>
          <w:i w:val="false"/>
          <w:color w:val="000000"/>
          <w:sz w:val="22"/>
        </w:rPr>
        <w:t xml:space="preserve">Child care assistance provider agreement decision. </w:t>
      </w:r>
      <w:r>
        <w:rPr>
          <w:rFonts w:ascii="Times New Roman" w:hAnsi="Times New Roman"/>
          <w:b w:val="false"/>
          <w:i w:val="false"/>
          <w:color w:val="000000"/>
          <w:sz w:val="22"/>
        </w:rPr>
        <w:t>The department shall issue Form 470-3871, Child Care Assistance Provider Agreement, when an applicant meets all requirements for a child care home. The department shall maintain a current list of child care homes as a referral service to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agreement shall be denied or canceled if the department finds a hazard to the safety and well-being of a child and the provider cannot correct or refuses to correct the hazard, even though the hazard may not have been specifically listed under these rules. The provider agreement may also be denied or canceled if the department determines that the provider has failed to comply with standards imposed by law and rules found in this chapter or at </w:t>
      </w:r>
      <w:hyperlink r:id="rId15">
        <w:r>
          <w:rPr>
            <w:rStyle w:val="Hyperlink"/>
            <w:rFonts w:ascii="Times New Roman" w:hAnsi="Times New Roman"/>
            <w:b w:val="false"/>
            <w:i w:val="false"/>
            <w:color w:val="000000"/>
            <w:sz w:val="22"/>
          </w:rPr>
          <w:t>441—Chapter 170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120.11(2)</w:t>
      </w:r>
      <w:r>
        <w:rPr>
          <w:rFonts w:ascii="Times New Roman" w:hAnsi="Times New Roman"/>
          <w:b w:val="false"/>
          <w:i w:val="false"/>
          <w:color w:val="000000"/>
          <w:sz w:val="22"/>
        </w:rPr>
        <w:t> </w:t>
      </w:r>
      <w:r>
        <w:rPr>
          <w:rFonts w:ascii="Times New Roman" w:hAnsi="Times New Roman"/>
          <w:b w:val="false"/>
          <w:i w:val="false"/>
          <w:color w:val="000000"/>
          <w:sz w:val="22"/>
        </w:rPr>
        <w:t>Record of all denials or cancellations of provider agreements and the documentation of reasons for denying or canceling the agreement shall be kept in an open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120.11(3)</w:t>
      </w:r>
      <w:r>
        <w:rPr>
          <w:rFonts w:ascii="Times New Roman" w:hAnsi="Times New Roman"/>
          <w:b w:val="false"/>
          <w:i w:val="false"/>
          <w:color w:val="000000"/>
          <w:sz w:val="22"/>
        </w:rPr>
        <w:t> </w:t>
      </w:r>
      <w:r>
        <w:rPr>
          <w:rFonts w:ascii="Times New Roman" w:hAnsi="Times New Roman"/>
          <w:b w:val="false"/>
          <w:i w:val="false"/>
          <w:color w:val="000000"/>
          <w:sz w:val="22"/>
        </w:rPr>
        <w:t>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The department shall conduct Iowa criminal history record and child abuse record checks for each provider, substitute or staff member, anyone living in the home who is 14 years of age or older, and anyone having access to a child when the child is alone. The department shall conduct national criminal history record checks, based on fingerprints, for each provider, substitute or staff member, anyone living in the home who is 18 years of age or older, and anyone 18 years of age or older having access to a child when the child is alone. In accordance with Iowa Code section </w:t>
      </w:r>
      <w:hyperlink r:id="rId16">
        <w:r>
          <w:rPr>
            <w:rStyle w:val="Hyperlink"/>
            <w:rFonts w:ascii="Times New Roman" w:hAnsi="Times New Roman"/>
            <w:b w:val="false"/>
            <w:i w:val="false"/>
            <w:color w:val="000000"/>
            <w:sz w:val="22"/>
          </w:rPr>
          <w:t>726.23</w:t>
        </w:r>
      </w:hyperlink>
      <w:r>
        <w:rPr>
          <w:rFonts w:ascii="Times New Roman" w:hAnsi="Times New Roman"/>
          <w:b w:val="false"/>
          <w:i w:val="false"/>
          <w:color w:val="000000"/>
          <w:sz w:val="22"/>
        </w:rPr>
        <w:t>, minors under the age of 18 will not be subject to the fingerprint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record checks is to determine whether the person has committed a transgression that prohibits or limits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conduct criminal history record and child abuse record checks in other states and may conduct dependent adult abuse, sex offender registry, and other public or civil offense record checks in Iowa or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Child care assistance provider agreements shall not be issued until the results of all state and national record checks have been received and, when necessary,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Authorization. </w:t>
      </w:r>
      <w:r>
        <w:rPr>
          <w:rFonts w:ascii="Times New Roman" w:hAnsi="Times New Roman"/>
          <w:b w:val="false"/>
          <w:i w:val="false"/>
          <w:color w:val="000000"/>
          <w:sz w:val="22"/>
        </w:rPr>
        <w:t>The person subject to record checks shall complete the Iowa department of human services record check authorization form; Form DCI-45, Waiver Agreement; Form FD-258, Federal Fingerprint Card; and any other forms required by the department of public safety to authorize the release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Iowa records checks. </w:t>
      </w:r>
      <w:r>
        <w:rPr>
          <w:rFonts w:ascii="Times New Roman" w:hAnsi="Times New Roman"/>
          <w:b w:val="false"/>
          <w:i w:val="false"/>
          <w:color w:val="000000"/>
          <w:sz w:val="22"/>
        </w:rPr>
        <w:t>Checks and evaluations of Iowa child abuse and criminal history records shall be completed before the person’s involvement with child care. Iowa records checks shall be repeated at a minimum of every two years and when the department or the provider becomes aware of any possible transgressions. The department is responsible for the cost of conducting the Iowa records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record checks. </w:t>
      </w:r>
      <w:r>
        <w:rPr>
          <w:rFonts w:ascii="Times New Roman" w:hAnsi="Times New Roman"/>
          <w:b w:val="false"/>
          <w:i w:val="false"/>
          <w:color w:val="000000"/>
          <w:sz w:val="22"/>
        </w:rPr>
        <w:t>Fingerprint-based checks of national criminal history records shall also be completed before a person’s involvement with child care. This requirement shall be required for an initial application or a renewal application. The national criminal history record check shall be repeated for each person subject to the check every four years and when the department or provider becomes aware of any new transgressions committed by that person in another state. The department is responsible for the cost of conducting the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is responsible for any costs associated with the taking (rolling) of fingerprints of all persons subject to record checks and for submitting the fingerprints to the department so the national criminal history record check can be completed. Fingerprints may be taken (rolled) by law enforcement agencies or by agencies or companies that specialize in taking (rolling) fingerprints.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provide fingerprints to the department of public safety no later than ten business days after receipt of the fingerprint cards. The department shall submit the fingerprints on forms or in a manner allowed by the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rely on the results of previously conducted national criminal history record checks when a person subject to a record check in one child development home or child care home submits a request for involvement with child care in another child development home or child care home, so long as the person’s national criminal history record check is within the allowable four-year time frame. All initial or new applications shall require a new national criminal history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Mandatory prohibition. </w:t>
      </w:r>
      <w:r>
        <w:rPr>
          <w:rFonts w:ascii="Times New Roman" w:hAnsi="Times New Roman"/>
          <w:b w:val="false"/>
          <w:i w:val="false"/>
          <w:color w:val="000000"/>
          <w:sz w:val="22"/>
        </w:rPr>
        <w:t>A person with any of the following convictions or founded abuse reports is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Founded child or dependent adult abuse that was determined to be sexual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requirement to be listed on any state sex offender registry or the national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of the following felony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endangerment or neglect or abandonment of a dependent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Domestic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Crime against a child including, but not limited to, sexual exploitation of a minor.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Forcible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 A record of a misdemeanor conviction of a crime against a child that constitutes one of the following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 endangerment.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Sexual assault.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Child pornography.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person subject to a record check refuses to consent to a record check, the person shall be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person has been convicted of a crime and makes what the person knows to be a false statement of material fact in connection with the conviction or record check, the person shall be prohibited from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Mandatory time-limited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with the following conviction or founded abuse report is prohibited from involvement with child care for five years from the date of the conviction or founded abuse report: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Conviction of a controlled substance offense.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Founded abuse that was determined to be physical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five-year prohibition period (from the date of the conviction or the founded abuse report) as defined in subparagraph </w:t>
      </w:r>
      <w:hyperlink r:id="rId17">
        <w:r>
          <w:rPr>
            <w:rStyle w:val="Hyperlink"/>
            <w:rFonts w:ascii="Times New Roman" w:hAnsi="Times New Roman"/>
            <w:b w:val="false"/>
            <w:i w:val="false"/>
            <w:color w:val="000000"/>
            <w:sz w:val="22"/>
          </w:rPr>
          <w:t>120.11(3)</w:t>
        </w:r>
        <w:r>
          <w:rPr>
            <w:rFonts w:ascii="Times New Roman" w:hAnsi="Times New Roman"/>
            <w:b w:val="false"/>
            <w:i/>
            <w:color w:val="000000"/>
            <w:sz w:val="22"/>
          </w:rPr>
          <w:t>“f”</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the person may request the department to perform an evaluation under paragraph </w:t>
      </w:r>
      <w:hyperlink r:id="rId18">
        <w:r>
          <w:rPr>
            <w:rStyle w:val="Hyperlink"/>
            <w:rFonts w:ascii="Times New Roman" w:hAnsi="Times New Roman"/>
            <w:b w:val="false"/>
            <w:i w:val="false"/>
            <w:color w:val="000000"/>
            <w:sz w:val="22"/>
          </w:rPr>
          <w:t>120.11(3)</w:t>
        </w:r>
        <w:r>
          <w:rPr>
            <w:rFonts w:ascii="Times New Roman" w:hAnsi="Times New Roman"/>
            <w:b w:val="false"/>
            <w:i/>
            <w:color w:val="000000"/>
            <w:sz w:val="22"/>
          </w:rPr>
          <w:t>“g”</w:t>
        </w:r>
      </w:hyperlink>
      <w:r>
        <w:rPr>
          <w:rFonts w:ascii="Times New Roman" w:hAnsi="Times New Roman"/>
          <w:b w:val="false"/>
          <w:i w:val="false"/>
          <w:color w:val="000000"/>
          <w:sz w:val="22"/>
        </w:rPr>
        <w:t xml:space="preserve"> to determine whether prohibition of the person’s involvement with child care continues to be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Evaluation required. </w:t>
      </w:r>
      <w:r>
        <w:rPr>
          <w:rFonts w:ascii="Times New Roman" w:hAnsi="Times New Roman"/>
          <w:b w:val="false"/>
          <w:i w:val="false"/>
          <w:color w:val="000000"/>
          <w:sz w:val="22"/>
        </w:rPr>
        <w:t xml:space="preserve">For all other transgressions, and as requested under subparagraph </w:t>
      </w:r>
      <w:hyperlink r:id="rId19">
        <w:r>
          <w:rPr>
            <w:rStyle w:val="Hyperlink"/>
            <w:rFonts w:ascii="Times New Roman" w:hAnsi="Times New Roman"/>
            <w:b w:val="false"/>
            <w:i w:val="false"/>
            <w:color w:val="000000"/>
            <w:sz w:val="22"/>
          </w:rPr>
          <w:t>120.11(3)</w:t>
        </w:r>
        <w:r>
          <w:rPr>
            <w:rFonts w:ascii="Times New Roman" w:hAnsi="Times New Roman"/>
            <w:b w:val="false"/>
            <w:i/>
            <w:color w:val="000000"/>
            <w:sz w:val="22"/>
          </w:rPr>
          <w:t>“f”</w:t>
        </w:r>
        <w:r>
          <w:rPr>
            <w:rFonts w:ascii="Times New Roman" w:hAnsi="Times New Roman"/>
            <w:b w:val="false"/>
            <w:i w:val="false"/>
            <w:color w:val="000000"/>
            <w:sz w:val="22"/>
          </w:rPr>
          <w:t>(2)</w:t>
        </w:r>
      </w:hyperlink>
      <w:r>
        <w:rPr>
          <w:rFonts w:ascii="Times New Roman" w:hAnsi="Times New Roman"/>
          <w:b w:val="false"/>
          <w:i w:val="false"/>
          <w:color w:val="000000"/>
          <w:sz w:val="22"/>
        </w:rPr>
        <w:t>, the department shall evaluate the transgression and make a decision about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with the transgression shall complete and return the record check evaluation form within ten calendar days of the date on the form. The department shall use the information the person with the transgression provides on this form to assist in the evaluation. Failure of the person with the transgression to complete and return this form within ten calendar days of the date on the form shall result in denial or revocation of the child care assistance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information from the department’s case records in performing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evaluation, the department shall consider all of the following factors: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nature and seriousness of the transgression in relation to the position sought or held.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time elapsed since the commission of the transgression.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circumstances under which the transgression was committed.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likelihood that the person will commit the transgression again.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number of transgressions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person subject to a record check has a transgression that has been determined in a previous evaluation not to warrant prohibition of the person’s involvement with child care and the person has no subsequent transgressions, an exemption from reevaluation of the latest record check is authorized. The person may commence employment with another child care facility in accordance with the department’s previous evaluation. The exemption is subject to all of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restrictions placed on the person’s employment by the department in the previous evaluation shall remain applicable in the person’s subsequent employment.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person subject to the record check has maintained a copy of the previous evaluation and provides the evaluation to the subsequent employer or the previous employer provides to the subsequent employer the previous evaluation from the person’s personnel file pursuant to the person’s authorization. If a physical copy of the previous evaluation is not provided to the subsequent employer, the record check shall be reevaluated.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subsequent employer may request a reevaluation of the record check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has final authority in determining whether prohibition of the person’s involvement with child care is warranted and in developing any conditional requirements or corrective action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shall make a decision on the person’s involvement with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Within 30 calendar days of receipt of a completed record check evaluation, the department shall mail to the person subject to an evaluation a record check decision that explains the decision reached regarding the evaluation of the transgression and a notice of decision: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notice of decision: child care prohibiting involvement with child care when the person subject to an evaluation fails to complete the record check evaluation within the ten-calendar-day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through the record check evaluation process, that the person’s prohibition of involvement with child care is warranted, the person shall be prohibited from involvement with child care. The department may identify a period of time after which the person may request that another record check and evaluation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department may permit a person who is evaluated to maintain involvement with child care if the person complies with the department’s conditions relating to the person’s involvement with child care, which may include completion of additional training or an individually designed corrective action plan, or both. For an employee of a provider, these conditional requirements shall be developed with the provider. All conditions placed on a person’s involvement with child care shall be communicated, in writing, to both the person subject to the evaluation and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reevaluate any transgressions where a state or federal law change requires different considerations of the transgression than had been previously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Notice to parents of abuse in care. </w:t>
      </w:r>
      <w:r>
        <w:rPr>
          <w:rFonts w:ascii="Times New Roman" w:hAnsi="Times New Roman"/>
          <w:b w:val="false"/>
          <w:i w:val="false"/>
          <w:color w:val="000000"/>
          <w:sz w:val="22"/>
        </w:rPr>
        <w:t>If there has been founded child abuse committed by an owner, director, or staff member of the child care facility or child care home, the department’s administrator shall notify the parents, guardians, and legal custodians of each child for whom the facility or child care home provides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child care facility or child care home shall cooperate with the department in providing the names and addresses of the parent, guardian, or custodian of each child for whom the facility provides child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This information shall be provided to the department within ten calendar days from the date of the initial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Failure or refusal to provide the requested information may result in cancellation of the provider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120.11(4)</w:t>
      </w:r>
      <w:r>
        <w:rPr>
          <w:rFonts w:ascii="Times New Roman" w:hAnsi="Times New Roman"/>
          <w:b w:val="false"/>
          <w:i w:val="false"/>
          <w:color w:val="000000"/>
          <w:sz w:val="22"/>
        </w:rPr>
        <w:t> </w:t>
      </w:r>
      <w:r>
        <w:rPr>
          <w:rFonts w:ascii="Times New Roman" w:hAnsi="Times New Roman"/>
          <w:b w:val="false"/>
          <w:i w:val="false"/>
          <w:color w:val="000000"/>
          <w:sz w:val="22"/>
        </w:rPr>
        <w:t>Required notifications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provider shall, within ten days, notify the department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Changes in substitutes;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Changes in household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Address changes;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Criminal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substitute shall be utilized in the care of children and no person shall be permitted to reside in the household until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provider does not notify the department of changes within ten days, the provider may be subject to revocation of the provider’s child care assistance provider agreement or to recoupment of child care assistance provided,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 xml:space="preserve">; </w:t>
      </w:r>
      <w:r>
        <w:rPr>
          <w:rFonts w:ascii="Times New Roman" w:hAnsi="Times New Roman"/>
          <w:b/>
          <w:i w:val="false"/>
          <w:color w:val="000000"/>
          <w:sz w:val="16"/>
        </w:rPr>
        <w:t>ARC 4114C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441—120.12</w:t>
      </w:r>
      <w:r>
        <w:rPr>
          <w:rFonts w:ascii="Times New Roman" w:hAnsi="Times New Roman"/>
          <w:b/>
          <w:i w:val="false"/>
          <w:color w:val="000000"/>
          <w:sz w:val="22"/>
        </w:rPr>
        <w:t xml:space="preserve">(237A) </w:t>
      </w:r>
      <w:r>
        <w:rPr>
          <w:rFonts w:ascii="Times New Roman" w:hAnsi="Times New Roman"/>
          <w:b/>
          <w:i w:val="false"/>
          <w:color w:val="000000"/>
          <w:sz w:val="22"/>
        </w:rPr>
        <w:t xml:space="preserve">Complaints. </w:t>
      </w:r>
      <w:r>
        <w:rPr>
          <w:rFonts w:ascii="Times New Roman" w:hAnsi="Times New Roman"/>
          <w:b w:val="false"/>
          <w:i w:val="false"/>
          <w:color w:val="000000"/>
          <w:sz w:val="22"/>
        </w:rPr>
        <w:t>The department shall conduct an on-site visit when a complaint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120.12(1)</w:t>
      </w:r>
      <w:r>
        <w:rPr>
          <w:rFonts w:ascii="Times New Roman" w:hAnsi="Times New Roman"/>
          <w:b w:val="false"/>
          <w:i w:val="false"/>
          <w:color w:val="000000"/>
          <w:sz w:val="22"/>
        </w:rPr>
        <w:t> </w:t>
      </w:r>
      <w:r>
        <w:rPr>
          <w:rFonts w:ascii="Times New Roman" w:hAnsi="Times New Roman"/>
          <w:b w:val="false"/>
          <w:i w:val="false"/>
          <w:color w:val="000000"/>
          <w:sz w:val="22"/>
        </w:rPr>
        <w:t>After each complaint visit, the department shall document whether the child care home was in compliance with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120.12(2)</w:t>
      </w:r>
      <w:r>
        <w:rPr>
          <w:rFonts w:ascii="Times New Roman" w:hAnsi="Times New Roman"/>
          <w:b w:val="false"/>
          <w:i w:val="false"/>
          <w:color w:val="000000"/>
          <w:sz w:val="22"/>
        </w:rPr>
        <w:t> </w:t>
      </w:r>
      <w:r>
        <w:rPr>
          <w:rFonts w:ascii="Times New Roman" w:hAnsi="Times New Roman"/>
          <w:b w:val="false"/>
          <w:i w:val="false"/>
          <w:color w:val="000000"/>
          <w:sz w:val="22"/>
        </w:rPr>
        <w:t>The written documentation of the department’s conclusion as to whether the child care home was in compliance with requirements shall be available to the public. However, the identity of all complainants shall be confidential, unless expressly waived by the complainant.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441—120.13</w:t>
      </w:r>
      <w:r>
        <w:rPr>
          <w:rFonts w:ascii="Times New Roman" w:hAnsi="Times New Roman"/>
          <w:b/>
          <w:i w:val="false"/>
          <w:color w:val="000000"/>
          <w:sz w:val="22"/>
        </w:rPr>
        <w:t xml:space="preserve">(237A) </w:t>
      </w:r>
      <w:r>
        <w:rPr>
          <w:rFonts w:ascii="Times New Roman" w:hAnsi="Times New Roman"/>
          <w:b/>
          <w:i w:val="false"/>
          <w:color w:val="000000"/>
          <w:sz w:val="22"/>
        </w:rPr>
        <w:t xml:space="preserve">Prohibition from involvement with child care. </w:t>
      </w:r>
      <w:r>
        <w:rPr>
          <w:rFonts w:ascii="Times New Roman" w:hAnsi="Times New Roman"/>
          <w:b w:val="false"/>
          <w:i w:val="false"/>
          <w:color w:val="000000"/>
          <w:sz w:val="22"/>
        </w:rPr>
        <w:t>If the department has prohibited a person or program from involvement with child care, that person or program shall not provide child care as a nonregistered child care home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2648C</w:t>
      </w:r>
      <w:r>
        <w:rPr>
          <w:rFonts w:ascii="Times New Roman" w:hAnsi="Times New Roman"/>
          <w:b w:val="false"/>
          <w:i w:val="false"/>
          <w:color w:val="000000"/>
          <w:sz w:val="16"/>
        </w:rPr>
        <w:t>, IAB 8/3/16, effective 10/1/16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237A.12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2648C</w:t>
      </w:r>
      <w:r>
        <w:rPr>
          <w:rFonts w:ascii="Times New Roman" w:hAnsi="Times New Roman"/>
          <w:b w:val="false"/>
          <w:i w:val="false"/>
          <w:color w:val="000000"/>
          <w:sz w:val="21"/>
        </w:rPr>
        <w:t xml:space="preserve"> (Notice ARC 2552C, IAB 5/25/16)</w:t>
      </w:r>
      <w:r>
        <w:rPr>
          <w:rFonts w:ascii="Times New Roman" w:hAnsi="Times New Roman"/>
          <w:b w:val="false"/>
          <w:i w:val="false"/>
          <w:color w:val="000000"/>
          <w:sz w:val="21"/>
        </w:rPr>
        <w:t>, IAB 8/3/16, effective 10/1/16]</w:t>
      </w:r>
    </w:p>
    <w:p>
      <w:pPr>
        <w:spacing w:before="0" w:after="0"/>
        <w:ind w:left="120"/>
        <w:jc w:val="center"/>
      </w:pPr>
      <w:r>
        <w:rPr>
          <w:rFonts w:ascii="Times New Roman" w:hAnsi="Times New Roman"/>
          <w:b w:val="false"/>
          <w:i w:val="false"/>
          <w:color w:val="000000"/>
          <w:sz w:val="21"/>
        </w:rPr>
        <w:t>[Filed ARC 3095C</w:t>
      </w:r>
      <w:r>
        <w:rPr>
          <w:rFonts w:ascii="Times New Roman" w:hAnsi="Times New Roman"/>
          <w:b w:val="false"/>
          <w:i w:val="false"/>
          <w:color w:val="000000"/>
          <w:sz w:val="21"/>
        </w:rPr>
        <w:t xml:space="preserve"> (Notice ARC 2998C, IAB 3/29/17)</w:t>
      </w:r>
      <w:r>
        <w:rPr>
          <w:rFonts w:ascii="Times New Roman" w:hAnsi="Times New Roman"/>
          <w:b w:val="false"/>
          <w:i w:val="false"/>
          <w:color w:val="000000"/>
          <w:sz w:val="21"/>
        </w:rPr>
        <w:t>, IAB 6/7/17, effective 8/1/17]</w:t>
      </w:r>
      <w:r>
        <w:br/>
      </w:r>
      <w:r>
        <w:rPr>
          <w:rFonts w:ascii="Times New Roman" w:hAnsi="Times New Roman"/>
          <w:b w:val="false"/>
          <w:i w:val="false"/>
          <w:color w:val="000000"/>
          <w:sz w:val="21"/>
        </w:rPr>
        <w:t>[Filed ARC 3096C</w:t>
      </w:r>
      <w:r>
        <w:rPr>
          <w:rFonts w:ascii="Times New Roman" w:hAnsi="Times New Roman"/>
          <w:b w:val="false"/>
          <w:i w:val="false"/>
          <w:color w:val="000000"/>
          <w:sz w:val="21"/>
        </w:rPr>
        <w:t xml:space="preserve"> (Notice ARC 2997C, IAB 3/29/17)</w:t>
      </w:r>
      <w:r>
        <w:rPr>
          <w:rFonts w:ascii="Times New Roman" w:hAnsi="Times New Roman"/>
          <w:b w:val="false"/>
          <w:i w:val="false"/>
          <w:color w:val="000000"/>
          <w:sz w:val="21"/>
        </w:rPr>
        <w:t>, IAB 6/7/17, effective 8/1/17]</w:t>
      </w:r>
    </w:p>
    <w:p>
      <w:pPr>
        <w:spacing w:before="0" w:after="0"/>
        <w:ind w:left="120"/>
        <w:jc w:val="center"/>
      </w:pPr>
      <w:r>
        <w:rPr>
          <w:rFonts w:ascii="Times New Roman" w:hAnsi="Times New Roman"/>
          <w:b w:val="false"/>
          <w:i w:val="false"/>
          <w:color w:val="000000"/>
          <w:sz w:val="21"/>
        </w:rPr>
        <w:t>[Filed ARC 3556C</w:t>
      </w:r>
      <w:r>
        <w:rPr>
          <w:rFonts w:ascii="Times New Roman" w:hAnsi="Times New Roman"/>
          <w:b w:val="false"/>
          <w:i w:val="false"/>
          <w:color w:val="000000"/>
          <w:sz w:val="21"/>
        </w:rPr>
        <w:t xml:space="preserve"> (Notice ARC 3436C, IAB 11/8/17)</w:t>
      </w:r>
      <w:r>
        <w:rPr>
          <w:rFonts w:ascii="Times New Roman" w:hAnsi="Times New Roman"/>
          <w:b w:val="false"/>
          <w:i w:val="false"/>
          <w:color w:val="000000"/>
          <w:sz w:val="21"/>
        </w:rPr>
        <w:t>, IAB 1/3/18, effective 3/1/18]</w:t>
      </w:r>
    </w:p>
    <w:p>
      <w:pPr>
        <w:spacing w:before="0" w:after="0"/>
        <w:ind w:left="120"/>
        <w:jc w:val="center"/>
      </w:pPr>
      <w:r>
        <w:rPr>
          <w:rFonts w:ascii="Times New Roman" w:hAnsi="Times New Roman"/>
          <w:b w:val="false"/>
          <w:i w:val="false"/>
          <w:color w:val="000000"/>
          <w:sz w:val="21"/>
        </w:rPr>
        <w:t>[Filed ARC 4114C</w:t>
      </w:r>
      <w:r>
        <w:rPr>
          <w:rFonts w:ascii="Times New Roman" w:hAnsi="Times New Roman"/>
          <w:b w:val="false"/>
          <w:i w:val="false"/>
          <w:color w:val="000000"/>
          <w:sz w:val="21"/>
        </w:rPr>
        <w:t xml:space="preserve"> (Notice ARC 3970C,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4753C</w:t>
      </w:r>
      <w:r>
        <w:rPr>
          <w:rFonts w:ascii="Times New Roman" w:hAnsi="Times New Roman"/>
          <w:b w:val="false"/>
          <w:i w:val="false"/>
          <w:color w:val="000000"/>
          <w:sz w:val="21"/>
        </w:rPr>
        <w:t xml:space="preserve"> (Notice ARC 4602C,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5488C</w:t>
      </w:r>
      <w:r>
        <w:rPr>
          <w:rFonts w:ascii="Times New Roman" w:hAnsi="Times New Roman"/>
          <w:b w:val="false"/>
          <w:i w:val="false"/>
          <w:color w:val="000000"/>
          <w:sz w:val="21"/>
        </w:rPr>
        <w:t xml:space="preserve"> (Notice ARC 5337C, IAB 12/16/20)</w:t>
      </w:r>
      <w:r>
        <w:rPr>
          <w:rFonts w:ascii="Times New Roman" w:hAnsi="Times New Roman"/>
          <w:b w:val="false"/>
          <w:i w:val="false"/>
          <w:color w:val="000000"/>
          <w:sz w:val="21"/>
        </w:rPr>
        <w:t>, IAB 3/10/21, effective 5/1/21]</w:t>
      </w:r>
    </w:p>
    <w:p>
      <w:pPr>
        <w:spacing w:before="0" w:after="0"/>
        <w:ind w:left="120"/>
        <w:jc w:val="center"/>
      </w:pPr>
      <w:r>
        <w:rPr>
          <w:rFonts w:ascii="Times New Roman" w:hAnsi="Times New Roman"/>
          <w:b w:val="false"/>
          <w:i w:val="false"/>
          <w:color w:val="000000"/>
          <w:sz w:val="21"/>
        </w:rPr>
        <w:t>[Filed ARC 6023C</w:t>
      </w:r>
      <w:r>
        <w:rPr>
          <w:rFonts w:ascii="Times New Roman" w:hAnsi="Times New Roman"/>
          <w:b w:val="false"/>
          <w:i w:val="false"/>
          <w:color w:val="000000"/>
          <w:sz w:val="21"/>
        </w:rPr>
        <w:t xml:space="preserve"> (Notice ARC 5832C, IAB 8/11/21)</w:t>
      </w:r>
      <w:r>
        <w:rPr>
          <w:rFonts w:ascii="Times New Roman" w:hAnsi="Times New Roman"/>
          <w:b w:val="false"/>
          <w:i w:val="false"/>
          <w:color w:val="000000"/>
          <w:sz w:val="21"/>
        </w:rPr>
        <w:t>, IAB 11/3/21, effective 1/1/22]</w:t>
      </w:r>
    </w:p>
    <w:p>
      <w:pPr>
        <w:spacing w:before="0" w:after="0"/>
        <w:ind w:left="120"/>
        <w:jc w:val="center"/>
      </w:pPr>
      <w:r>
        <w:rPr>
          <w:rFonts w:ascii="Times New Roman" w:hAnsi="Times New Roman"/>
          <w:b w:val="false"/>
          <w:i w:val="false"/>
          <w:color w:val="000000"/>
          <w:sz w:val="21"/>
        </w:rPr>
        <w:t>[Filed ARC 6626C</w:t>
      </w:r>
      <w:r>
        <w:rPr>
          <w:rFonts w:ascii="Times New Roman" w:hAnsi="Times New Roman"/>
          <w:b w:val="false"/>
          <w:i w:val="false"/>
          <w:color w:val="000000"/>
          <w:sz w:val="21"/>
        </w:rPr>
        <w:t xml:space="preserve"> (Notice ARC 6476C, IAB 8/24/22)</w:t>
      </w:r>
      <w:r>
        <w:rPr>
          <w:rFonts w:ascii="Times New Roman" w:hAnsi="Times New Roman"/>
          <w:b w:val="false"/>
          <w:i w:val="false"/>
          <w:color w:val="000000"/>
          <w:sz w:val="21"/>
        </w:rPr>
        <w:t>, IAB 11/2/22, effective 3/1/23]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A.3.pdf" Type="http://schemas.openxmlformats.org/officeDocument/2006/relationships/hyperlink" Id="rId5"/>
    <Relationship TargetMode="External" Target="https://www.legis.iowa.gov/docs/ico/chapter/692A.pdf" Type="http://schemas.openxmlformats.org/officeDocument/2006/relationships/hyperlink" Id="rId6"/>
    <Relationship TargetMode="External" Target="http://smokefreeair.iowa.gov" Type="http://schemas.openxmlformats.org/officeDocument/2006/relationships/hyperlink" Id="rId7"/>
    <Relationship TargetMode="External" Target="https://www.legis.iowa.gov/docs/iac/chapter/641.69.pdf" Type="http://schemas.openxmlformats.org/officeDocument/2006/relationships/hyperlink" Id="rId8"/>
    <Relationship TargetMode="External" Target="https://www.legis.iowa.gov/docs/iac/chapter/641.70.pdf" Type="http://schemas.openxmlformats.org/officeDocument/2006/relationships/hyperlink" Id="rId9"/>
    <Relationship TargetMode="External" Target="https://www.legis.iowa.gov/docs/ico/chapter/321.446.pdf" Type="http://schemas.openxmlformats.org/officeDocument/2006/relationships/hyperlink" Id="rId10"/>
    <Relationship TargetMode="External" Target="https://www.legis.iowa.gov/docs/ico/chapter/702.18.pdf" Type="http://schemas.openxmlformats.org/officeDocument/2006/relationships/hyperlink" Id="rId11"/>
    <Relationship TargetMode="External" Target="https://www.legis.iowa.gov/docs/ico/chapter/232.69.pdf" Type="http://schemas.openxmlformats.org/officeDocument/2006/relationships/hyperlink" Id="rId12"/>
    <Relationship TargetMode="External" Target="https://www.legis.iowa.gov/docs/iac/rule/441.120.10.pdf" Type="http://schemas.openxmlformats.org/officeDocument/2006/relationships/hyperlink" Id="rId13"/>
    <Relationship TargetMode="External" Target="https://www.legis.iowa.gov/docs/iac/rule/441.120.1.pdf" Type="http://schemas.openxmlformats.org/officeDocument/2006/relationships/hyperlink" Id="rId14"/>
    <Relationship TargetMode="External" Target="https://www.legis.iowa.gov/docs/iac/chapter/441.170.pdf" Type="http://schemas.openxmlformats.org/officeDocument/2006/relationships/hyperlink" Id="rId15"/>
    <Relationship TargetMode="External" Target="https://www.legis.iowa.gov/docs/ico/chapter/726.23.pdf" Type="http://schemas.openxmlformats.org/officeDocument/2006/relationships/hyperlink" Id="rId16"/>
    <Relationship TargetMode="External" Target="https://www.legis.iowa.gov/docs/iac/rule/441.120.11.pdf" Type="http://schemas.openxmlformats.org/officeDocument/2006/relationships/hyperlink" Id="rId17"/>
    <Relationship TargetMode="External" Target="https://www.legis.iowa.gov/docs/iac/rule/441.120.11.pdf" Type="http://schemas.openxmlformats.org/officeDocument/2006/relationships/hyperlink" Id="rId18"/>
    <Relationship TargetMode="External" Target="https://www.legis.iowa.gov/docs/iac/rule/441.120.11.pdf" Type="http://schemas.openxmlformats.org/officeDocument/2006/relationships/hyperlink" Id="rId19"/>
    <Relationship TargetMode="External" Target="https://www.legis.iowa.gov/docs/ico/chapter/237A.12.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