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w:t>
      </w:r>
    </w:p>
    <w:p>
      <w:pPr>
        <w:spacing w:before="0" w:after="0"/>
        <w:ind w:left="120"/>
        <w:jc w:val="center"/>
      </w:pPr>
      <w:r>
        <w:rPr>
          <w:rFonts w:ascii="Times New Roman" w:hAnsi="Times New Roman"/>
          <w:b w:val="false"/>
          <w:i w:val="false"/>
          <w:color w:val="000000"/>
          <w:sz w:val="21"/>
        </w:rPr>
        <w:t>CHILD DEVELOPMENT HOMES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establishes registration procedures for child development homes. Included are application and renewal procedures, standards for providers, and procedures for compliance checks and complaint investigations.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“Assistant” </w:t>
      </w:r>
      <w:r>
        <w:rPr>
          <w:rFonts w:ascii="Times New Roman" w:hAnsi="Times New Roman"/>
          <w:b w:val="false"/>
          <w:i w:val="false"/>
          <w:color w:val="000000"/>
          <w:sz w:val="22"/>
        </w:rPr>
        <w:t>means a responsible person 14 years of age or older. The assistant may never be left alone with children. Ultimate responsibility for supervision is with the child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12 years of age or younger.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13 years of age or older but younger than 19 years of age who has a developmental disability, as defined under the federal Developmental Disabilities Assistance and Bill of Rights Act of 2000, Public Law No. 106-402, codified in 42 U.S.C. 15002(8).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means the care, supervision, or guidance of a child by a person other than the child’s parent, guardian, or custodian for periods of less than 24 hours per day per child on a regular basis. “Child care” shall not mean special activity programs that meet on a regular basis such as music or dance classes, organized athletics or sports programs, scouting programs, or hobby or craft classes or clubs.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child care center, a preschool, or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home” </w:t>
      </w:r>
      <w:r>
        <w:rPr>
          <w:rFonts w:ascii="Times New Roman" w:hAnsi="Times New Roman"/>
          <w:b w:val="false"/>
          <w:i w:val="false"/>
          <w:color w:val="000000"/>
          <w:sz w:val="22"/>
        </w:rPr>
        <w:t xml:space="preserve">means a person or program providing child care to any of the following children at any one time that is not registered to provide child care under this chapter, as authorized under Iowa Code section </w:t>
      </w:r>
      <w:hyperlink r:id="rId5">
        <w:r>
          <w:rPr>
            <w:rStyle w:val="Hyperlink"/>
            <w:rFonts w:ascii="Times New Roman" w:hAnsi="Times New Roman"/>
            <w:b w:val="false"/>
            <w:i w:val="false"/>
            <w:color w:val="000000"/>
            <w:sz w:val="22"/>
          </w:rPr>
          <w:t>237A.3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Five or fewer children.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Six or fewer children, if at least one of the children is school-aged.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development home” </w:t>
      </w:r>
      <w:r>
        <w:rPr>
          <w:rFonts w:ascii="Times New Roman" w:hAnsi="Times New Roman"/>
          <w:b w:val="false"/>
          <w:i w:val="false"/>
          <w:color w:val="000000"/>
          <w:sz w:val="22"/>
        </w:rPr>
        <w:t>means a person or program registered under this chapter that may provide child care to seven or more children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“Involvement with child care” </w:t>
      </w:r>
      <w:r>
        <w:rPr>
          <w:rFonts w:ascii="Times New Roman" w:hAnsi="Times New Roman"/>
          <w:b w:val="false"/>
          <w:i w:val="false"/>
          <w:color w:val="000000"/>
          <w:sz w:val="22"/>
        </w:rPr>
        <w:t>means licensed or registered as a child care facility, employed in a child care facility, residing in a child care facility, receiving public funding for providing child care, providing child care as a child care home provider, or residing in a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subject to an evaluation” </w:t>
      </w:r>
      <w:r>
        <w:rPr>
          <w:rFonts w:ascii="Times New Roman" w:hAnsi="Times New Roman"/>
          <w:b w:val="false"/>
          <w:i w:val="false"/>
          <w:color w:val="000000"/>
          <w:sz w:val="22"/>
        </w:rPr>
        <w:t>means a person who has committed a transgression and who is described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is being considered for registration or is registered.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is being considered by a child care facility for employment involving direct responsibility for a child or with access to a child when the child is alone, or the person is employed with such responsibilities.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will reside or resides in a child care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person has applied for or receives public funding for providing child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person will reside or resides in a child care home that is not registered but that receives public funding for providing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the person or program that applies for registration to provide child care and is approved as a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the process by which child care providers certify that they comply with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certificate” </w:t>
      </w:r>
      <w:r>
        <w:rPr>
          <w:rFonts w:ascii="Times New Roman" w:hAnsi="Times New Roman"/>
          <w:b w:val="false"/>
          <w:i w:val="false"/>
          <w:color w:val="000000"/>
          <w:sz w:val="22"/>
        </w:rPr>
        <w:t>means the written document issued by the department to publicly state that the provider has certified in writing compliance with the minimum requirements for registration of a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kindergarten or a higher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“Transgression” </w:t>
      </w:r>
      <w:r>
        <w:rPr>
          <w:rFonts w:ascii="Times New Roman" w:hAnsi="Times New Roman"/>
          <w:b w:val="false"/>
          <w:i w:val="false"/>
          <w:color w:val="000000"/>
          <w:sz w:val="22"/>
        </w:rPr>
        <w:t>means the existence of any of the following in a person’s record: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Conviction of a crime.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having committed founded child or dependent adult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Listing in the sex offender registry established under Iowa Code chapter </w:t>
      </w:r>
      <w:hyperlink r:id="rId6">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record of having committed a public or civil offense.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Department revocation or denial of a child care facility registration or license due to the person’s continued or repeated failure to operate the child care facility in compliance with licensing and registration laws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441—110.2</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for registration. </w:t>
      </w:r>
      <w:r>
        <w:rPr>
          <w:rFonts w:ascii="Times New Roman" w:hAnsi="Times New Roman"/>
          <w:b w:val="false"/>
          <w:i w:val="false"/>
          <w:color w:val="000000"/>
          <w:sz w:val="22"/>
        </w:rPr>
        <w:t>A provider shall apply for registration on Form 470-3384, Application for Child Development Home Registration, provided by the department’s local office or, if available, on the department’s website. The provider shall also use Form 470-3384 to inform the department of any changes in circumstances that would affect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441—110.3</w:t>
      </w:r>
      <w:r>
        <w:rPr>
          <w:rFonts w:ascii="Times New Roman" w:hAnsi="Times New Roman"/>
          <w:b/>
          <w:i w:val="false"/>
          <w:color w:val="000000"/>
          <w:sz w:val="22"/>
        </w:rPr>
        <w:t xml:space="preserve">(237A) </w:t>
      </w:r>
      <w:r>
        <w:rPr>
          <w:rFonts w:ascii="Times New Roman" w:hAnsi="Times New Roman"/>
          <w:b/>
          <w:i w:val="false"/>
          <w:color w:val="000000"/>
          <w:sz w:val="22"/>
        </w:rPr>
        <w:t xml:space="preserve">Renewal of registration. </w:t>
      </w:r>
      <w:r>
        <w:rPr>
          <w:rFonts w:ascii="Times New Roman" w:hAnsi="Times New Roman"/>
          <w:b w:val="false"/>
          <w:i w:val="false"/>
          <w:color w:val="000000"/>
          <w:sz w:val="22"/>
        </w:rPr>
        <w:t>Renewal of registration shall be completed every 24 months. To request renewal, a provider shall submit Form 470-3384, Application for Child Development Home Registration, and training completion evidence either through certificates or as updated in Iowa’s early childhood and school age professional workforce registry (i-PoWeR). The registration renewal process shall include completion of child abuse, sex offender, and criminal record checks.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441—110.4</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Compliance checks. </w:t>
      </w:r>
      <w:r>
        <w:rPr>
          <w:rFonts w:ascii="Times New Roman" w:hAnsi="Times New Roman"/>
          <w:b w:val="false"/>
          <w:i w:val="false"/>
          <w:color w:val="000000"/>
          <w:sz w:val="22"/>
        </w:rPr>
        <w:t>Prior to registration, a compliance visit to inspect for compliance with health, safety, and fire standards shall be completed.</w:t>
      </w:r>
    </w:p>
    <w:p>
      <w:pPr>
        <w:spacing w:before="0" w:after="0"/>
        <w:ind w:left="120"/>
        <w:jc w:val="both"/>
      </w:pPr>
      <w:r>
        <w:rPr>
          <w:rFonts w:ascii="Times New Roman" w:hAnsi="Times New Roman"/>
          <w:b w:val="false"/>
          <w:i w:val="false"/>
          <w:color w:val="000000"/>
          <w:sz w:val="22"/>
        </w:rPr>
        <w:t>An unannounced compliance visit shall be conducted not less than annually to check for compliance with health, safety, and fire standards as well as all child care regulatory standards. Completed evaluation checklists shall be placed in the registration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access. </w:t>
      </w:r>
      <w:r>
        <w:rPr>
          <w:rFonts w:ascii="Times New Roman" w:hAnsi="Times New Roman"/>
          <w:b w:val="false"/>
          <w:i w:val="false"/>
          <w:color w:val="000000"/>
          <w:sz w:val="22"/>
        </w:rPr>
        <w:t>Parents shall be afforded unlimited access to their children and to the people caring for their children during the normal hours of operation or whenever their children are in the care of the child development home, unless parental contact is prohibited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441—110.6</w:t>
      </w:r>
      <w:r>
        <w:rPr>
          <w:rFonts w:ascii="Times New Roman" w:hAnsi="Times New Roman"/>
          <w:b/>
          <w:i w:val="false"/>
          <w:color w:val="000000"/>
          <w:sz w:val="22"/>
        </w:rPr>
        <w:t xml:space="preserve">(237A) </w:t>
      </w:r>
      <w:r>
        <w:rPr>
          <w:rFonts w:ascii="Times New Roman" w:hAnsi="Times New Roman"/>
          <w:b/>
          <w:i w:val="false"/>
          <w:color w:val="000000"/>
          <w:sz w:val="22"/>
        </w:rPr>
        <w:t xml:space="preserve">Number of children. </w:t>
      </w:r>
      <w:r>
        <w:rPr>
          <w:rFonts w:ascii="Times New Roman" w:hAnsi="Times New Roman"/>
          <w:b w:val="false"/>
          <w:i w:val="false"/>
          <w:color w:val="000000"/>
          <w:sz w:val="22"/>
        </w:rPr>
        <w:t>The number of children in a child development home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w:t>
      </w:r>
      <w:r>
        <w:rPr>
          <w:rFonts w:ascii="Times New Roman" w:hAnsi="Times New Roman"/>
          <w:b w:val="false"/>
          <w:i w:val="false"/>
          <w:color w:val="000000"/>
          <w:sz w:val="22"/>
        </w:rPr>
        <w:t> </w:t>
      </w:r>
      <w:r>
        <w:rPr>
          <w:rFonts w:ascii="Times New Roman" w:hAnsi="Times New Roman"/>
          <w:b w:val="false"/>
          <w:i/>
          <w:color w:val="000000"/>
          <w:sz w:val="22"/>
        </w:rPr>
        <w:t xml:space="preserve">Limit. </w:t>
      </w:r>
      <w:r>
        <w:rPr>
          <w:rFonts w:ascii="Times New Roman" w:hAnsi="Times New Roman"/>
          <w:b w:val="false"/>
          <w:i w:val="false"/>
          <w:color w:val="000000"/>
          <w:sz w:val="22"/>
        </w:rPr>
        <w:t xml:space="preserve">Except as provided in subrule </w:t>
      </w:r>
      <w:hyperlink r:id="rId7">
        <w:r>
          <w:rPr>
            <w:rStyle w:val="Hyperlink"/>
            <w:rFonts w:ascii="Times New Roman" w:hAnsi="Times New Roman"/>
            <w:b w:val="false"/>
            <w:i w:val="false"/>
            <w:color w:val="000000"/>
            <w:sz w:val="22"/>
          </w:rPr>
          <w:t>110.6(3)</w:t>
        </w:r>
      </w:hyperlink>
      <w:r>
        <w:rPr>
          <w:rFonts w:ascii="Times New Roman" w:hAnsi="Times New Roman"/>
          <w:b w:val="false"/>
          <w:i w:val="false"/>
          <w:color w:val="000000"/>
          <w:sz w:val="22"/>
        </w:rPr>
        <w:t>, no greater number of children shall be received for care at any one time than the number authorized on the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w:t>
      </w:r>
      <w:r>
        <w:rPr>
          <w:rFonts w:ascii="Times New Roman" w:hAnsi="Times New Roman"/>
          <w:b w:val="false"/>
          <w:i w:val="false"/>
          <w:color w:val="000000"/>
          <w:sz w:val="22"/>
        </w:rPr>
        <w:t> </w:t>
      </w:r>
      <w:r>
        <w:rPr>
          <w:rFonts w:ascii="Times New Roman" w:hAnsi="Times New Roman"/>
          <w:b w:val="false"/>
          <w:i/>
          <w:color w:val="000000"/>
          <w:sz w:val="22"/>
        </w:rPr>
        <w:t xml:space="preserve">Children counted. </w:t>
      </w:r>
      <w:r>
        <w:rPr>
          <w:rFonts w:ascii="Times New Roman" w:hAnsi="Times New Roman"/>
          <w:b w:val="false"/>
          <w:i w:val="false"/>
          <w:color w:val="000000"/>
          <w:sz w:val="22"/>
        </w:rPr>
        <w:t>To determine the number of children cared for at any one time in a child development home, each child present in the child development home shall be considered to be receiving care unless the child is described by one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parent, guardian, or custodian established or operates the child development home and either the child is attending school or the child receives child care full-time on a regular basis from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has been present in the child development home for more than 72 consecutive hours and meets the requirements of the exception in paragraph </w:t>
      </w:r>
      <w:hyperlink r:id="rId8">
        <w:r>
          <w:rPr>
            <w:rStyle w:val="Hyperlink"/>
            <w:rFonts w:ascii="Times New Roman" w:hAnsi="Times New Roman"/>
            <w:b w:val="false"/>
            <w:i w:val="false"/>
            <w:color w:val="000000"/>
            <w:sz w:val="22"/>
          </w:rPr>
          <w:t>110.6(2)</w:t>
        </w:r>
        <w:r>
          <w:rPr>
            <w:rFonts w:ascii="Times New Roman" w:hAnsi="Times New Roman"/>
            <w:b w:val="false"/>
            <w:i/>
            <w:color w:val="000000"/>
            <w:sz w:val="22"/>
          </w:rPr>
          <w:t>“a”</w:t>
        </w:r>
      </w:hyperlink>
      <w:r>
        <w:rPr>
          <w:rFonts w:ascii="Times New Roman" w:hAnsi="Times New Roman"/>
          <w:b w:val="false"/>
          <w:i w:val="false"/>
          <w:color w:val="000000"/>
          <w:sz w:val="22"/>
        </w:rPr>
        <w:t xml:space="preserve"> as though the person who established or operates the child development home is the child’s parent,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110.6(3)</w:t>
      </w:r>
      <w:r>
        <w:rPr>
          <w:rFonts w:ascii="Times New Roman" w:hAnsi="Times New Roman"/>
          <w:b w:val="false"/>
          <w:i w:val="false"/>
          <w:color w:val="000000"/>
          <w:sz w:val="22"/>
        </w:rPr>
        <w:t> </w:t>
      </w:r>
      <w:r>
        <w:rPr>
          <w:rFonts w:ascii="Times New Roman" w:hAnsi="Times New Roman"/>
          <w:b w:val="false"/>
          <w:i/>
          <w:color w:val="000000"/>
          <w:sz w:val="22"/>
        </w:rPr>
        <w:t xml:space="preserve">Exception for emergency school closing. </w:t>
      </w:r>
      <w:r>
        <w:rPr>
          <w:rFonts w:ascii="Times New Roman" w:hAnsi="Times New Roman"/>
          <w:b w:val="false"/>
          <w:i w:val="false"/>
          <w:color w:val="000000"/>
          <w:sz w:val="22"/>
        </w:rPr>
        <w:t>On days when schools start late, are dismissed early, or are canceled or closed due to emergencies such as inclement weather, physical plant failure, structural damage, or public health emergency, a child development home may have additional children present in accordance with the authorization for the registration category of the home and subject to all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 development home has prior written approval from the parent or guardian of each child present in the home concerning the presence of additional children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or more of the following conditions are applicable to each of the additional children present in the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home provides care to the child on a regular basis for periods of less than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child were not present in the child development home, the child would be unattended.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home regularly provides care to a sibling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written record including the date of the emergency school closing, the reason for the closing, and the number of children in care on that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5488C</w:t>
      </w:r>
      <w:r>
        <w:rPr>
          <w:rFonts w:ascii="Times New Roman" w:hAnsi="Times New Roman"/>
          <w:b w:val="false"/>
          <w:i w:val="false"/>
          <w:color w:val="000000"/>
          <w:sz w:val="16"/>
        </w:rPr>
        <w:t>, IAB 3/10/21, effective 5/1/21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441—110.7</w:t>
      </w:r>
      <w:r>
        <w:rPr>
          <w:rFonts w:ascii="Times New Roman" w:hAnsi="Times New Roman"/>
          <w:b/>
          <w:i w:val="false"/>
          <w:color w:val="000000"/>
          <w:sz w:val="22"/>
        </w:rPr>
        <w:t xml:space="preserve">(237A) </w:t>
      </w:r>
      <w:r>
        <w:rPr>
          <w:rFonts w:ascii="Times New Roman" w:hAnsi="Times New Roman"/>
          <w:b/>
          <w:i w:val="false"/>
          <w:color w:val="000000"/>
          <w:sz w:val="22"/>
        </w:rPr>
        <w:t xml:space="preserve">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110.7(1)</w:t>
      </w: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Give careful supervision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Exchange information with the parent of each child frequently to enhance the quality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consistent, dependable care and be capable of handling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present at all times except when emergencies occur or an absence is planned, at which time care shall be provided by a department-approved substitute. When an absence is planned, the provider shall give parents at least 24 hours’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of the use of illegal drugs and shall not be under the influence of alcohol or of any prescription or nonprescription drug that could impair the provider’s ability to give careful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110.7(2)</w:t>
      </w:r>
      <w:r>
        <w:rPr>
          <w:rFonts w:ascii="Times New Roman" w:hAnsi="Times New Roman"/>
          <w:b w:val="false"/>
          <w:i w:val="false"/>
          <w:color w:val="000000"/>
          <w:sz w:val="22"/>
        </w:rPr>
        <w:t> </w:t>
      </w:r>
      <w:r>
        <w:rPr>
          <w:rFonts w:ascii="Times New Roman" w:hAnsi="Times New Roman"/>
          <w:b w:val="false"/>
          <w:i/>
          <w:color w:val="000000"/>
          <w:sz w:val="22"/>
        </w:rPr>
        <w:t xml:space="preserve">Substitutes. </w:t>
      </w:r>
      <w:r>
        <w:rPr>
          <w:rFonts w:ascii="Times New Roman" w:hAnsi="Times New Roman"/>
          <w:b w:val="false"/>
          <w:i w:val="false"/>
          <w:color w:val="000000"/>
          <w:sz w:val="22"/>
        </w:rPr>
        <w:t>The provider shall assume responsibility for providing adequate and appropriate supervision at all times when children are in attendance. Any designated substitute shall have the same responsibility for providing adequate and appropriate supervision. Ultimate responsibility for supervision shall be with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standards in this chapter regarding supervision and care of children shall apply to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the provider shall inform parents in advance of the planned use of a substitute.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substitute must be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a substitute shall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25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additional period of up to two weeks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written record of the number of hours care is provided by a substitute, including the date of the care and the name of the substitute.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441—110.8</w:t>
      </w:r>
      <w:r>
        <w:rPr>
          <w:rFonts w:ascii="Times New Roman" w:hAnsi="Times New Roman"/>
          <w:b/>
          <w:i w:val="false"/>
          <w:color w:val="000000"/>
          <w:sz w:val="22"/>
        </w:rPr>
        <w:t xml:space="preserve">(237A) </w:t>
      </w:r>
      <w:r>
        <w:rPr>
          <w:rFonts w:ascii="Times New Roman" w:hAnsi="Times New Roman"/>
          <w:b/>
          <w:i w:val="false"/>
          <w:color w:val="000000"/>
          <w:sz w:val="22"/>
        </w:rPr>
        <w:t xml:space="preserve">Standards. </w:t>
      </w:r>
      <w:r>
        <w:rPr>
          <w:rFonts w:ascii="Times New Roman" w:hAnsi="Times New Roman"/>
          <w:b w:val="false"/>
          <w:i w:val="false"/>
          <w:color w:val="000000"/>
          <w:sz w:val="22"/>
        </w:rPr>
        <w:t xml:space="preserve">Conditions in the home shall be safe, sanitary, and free of hazards. The provider shall certify that the child development home meets the following standards and also the standards in either rule </w:t>
      </w:r>
      <w:hyperlink r:id="rId9">
        <w:r>
          <w:rPr>
            <w:rStyle w:val="Hyperlink"/>
            <w:rFonts w:ascii="Times New Roman" w:hAnsi="Times New Roman"/>
            <w:b w:val="false"/>
            <w:i w:val="false"/>
            <w:color w:val="000000"/>
            <w:sz w:val="22"/>
          </w:rPr>
          <w:t>441—110.13</w:t>
        </w:r>
      </w:hyperlink>
      <w:r>
        <w:rPr>
          <w:rFonts w:ascii="Times New Roman" w:hAnsi="Times New Roman"/>
          <w:b w:val="false"/>
          <w:i w:val="false"/>
          <w:color w:val="000000"/>
          <w:sz w:val="22"/>
        </w:rPr>
        <w:t xml:space="preserve">(237A), </w:t>
      </w:r>
      <w:hyperlink r:id="rId10">
        <w:r>
          <w:rPr>
            <w:rStyle w:val="Hyperlink"/>
            <w:rFonts w:ascii="Times New Roman" w:hAnsi="Times New Roman"/>
            <w:b w:val="false"/>
            <w:i w:val="false"/>
            <w:color w:val="000000"/>
            <w:sz w:val="22"/>
          </w:rPr>
          <w:t>441—110.14</w:t>
        </w:r>
      </w:hyperlink>
      <w:r>
        <w:rPr>
          <w:rFonts w:ascii="Times New Roman" w:hAnsi="Times New Roman"/>
          <w:b w:val="false"/>
          <w:i w:val="false"/>
          <w:color w:val="000000"/>
          <w:sz w:val="22"/>
        </w:rPr>
        <w:t xml:space="preserve">(237A), or </w:t>
      </w:r>
      <w:hyperlink r:id="rId11">
        <w:r>
          <w:rPr>
            <w:rStyle w:val="Hyperlink"/>
            <w:rFonts w:ascii="Times New Roman" w:hAnsi="Times New Roman"/>
            <w:b w:val="false"/>
            <w:i w:val="false"/>
            <w:color w:val="000000"/>
            <w:sz w:val="22"/>
          </w:rPr>
          <w:t>441—110.15</w:t>
        </w:r>
      </w:hyperlink>
      <w:r>
        <w:rPr>
          <w:rFonts w:ascii="Times New Roman" w:hAnsi="Times New Roman"/>
          <w:b w:val="false"/>
          <w:i w:val="false"/>
          <w:color w:val="000000"/>
          <w:sz w:val="22"/>
        </w:rPr>
        <w:t>(237A), specific to the category of home for which the provider requests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nonpay, working landline or mobile telephone with emergency numbers posted for police, fire, ambulance, and the poison information center. The number for each child’s parent, for a responsible person who can be reached when the parent cannot, and for the child’s physician shall be written on paper and readily accessible by the telephone. The home must prominently display all emergency information, and all travel vehicles must have a paper copy of emergency parent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Electrical wiring shall be maintained, and all accessible electrical outlets shall be tamper-resistant outlets or shall be safely capped. Electrical cords shall be properly used. Improper use includes the running of cords under rugs, over hooks, or through door openings or other use that has been known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Combustible materials shall be kept a minimum of three feet away from furnaces, stoves, water heaters, and gas dryers.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Approved safety gates at stairways and doors shall be provided and used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health department or designee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safety barrier shall surround any heating stove or heating element, in order to prevent burns.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2A 10BC-rated fire extinguisher located in a visible and readily accessible place on each child-occupied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single-station, battery-operated, UL-approved smoke detector in each child-occupied room and at the top of every stairway. Each smoke detector shall be installed according to the manufacturer’s recommendations. The provider shall test each smoke detector monthly and keep a record of testing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complaints,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Internet address of the department of public health (</w:t>
      </w:r>
      <w:hyperlink r:id="rId12">
        <w:r>
          <w:rPr>
            <w:rStyle w:val="Hyperlink"/>
            <w:rFonts w:ascii="Times New Roman" w:hAnsi="Times New Roman"/>
            <w:b w:val="false"/>
            <w:i w:val="false"/>
            <w:color w:val="000000"/>
            <w:sz w:val="22"/>
            <w:u w:val="single"/>
          </w:rPr>
          <w:t>smokefreeair.iowa.gov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Homes served by a private sewage disposal system shall be operated and maintained to ensure the system is properly treating the wastewater and not creating an unsanitary condition in the environment. Discharge of untreated waste water from private sewage disposal systems is prohibited. Concerns about noncompliance shall be referred to the local county sanitarian.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provider operating in a facility built before 1978 shall assess and control lead hazards before being issued an initial child development home registration or a renewal of the registration. To comply with this requirement,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if painted surfaces on the interior or exterior of the facility are chipping, peeling, or cracking or in need of repair. Painted surfaces include walls, ceilings, windows, doors, stairs, and woodwork;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painted surfaces are in need of repair, hire an Iowa certified lead-safe renovator to make repairs or take training to become an Iowa certified lead-safe renovator. Iowa lead-safe renovators shall apply interim controls on any chipping, peeling, or cracking paint found, using lead-safe work methods in accordance with and as defined by department of public health rules at </w:t>
      </w:r>
      <w:hyperlink r:id="rId13">
        <w:r>
          <w:rPr>
            <w:rStyle w:val="Hyperlink"/>
            <w:rFonts w:ascii="Times New Roman" w:hAnsi="Times New Roman"/>
            <w:b w:val="false"/>
            <w:i w:val="false"/>
            <w:color w:val="000000"/>
            <w:sz w:val="22"/>
          </w:rPr>
          <w:t>641—Chapters 69</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child development home shall be located in a single-family residence that is owned, rented, or leased by the person, or, for dual registrations, at least one of the persons, who is named on the child development home’s certificate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15">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Providers shall inform parents of the presence of any pet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dog or cat in the household shall undergo an annual health examination by a licensed veterinarian. Acceptable veterinary examinations shall be documented on Form 470-5153, Veterinary Health Certificate. This examination shall verify that the animal’s routine immunizations, particularly rabies, are current and that the animal shows no evidence of endoparasites (roundworms, hookworms, whipworms) and ectoparasites (fleas, mites, ticks, lice).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pet bird in the household shall be purchased from a dealer licensed by the Iowa department of agriculture and land stewardship and shall be examined by a veterinarian to verify that the bird is free of infectious diseases. Acceptable veterinary examinations shall be documented on Form 470-5153, Veterinary Health Certificate. Children shall not handle pet birds.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Aquariums shall be well maintained and installed in a manner that prevents children from accessing the water or pulling over a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animal waste shall be immediately removed from the children’s areas and properly disposed of. Children shall not perform any feeding or care of pets or cleanup of pet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animals shall be allowed in the food preparation, food storage, or serving areas during food preparation and serving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Using an injury report form, the provider shall document all injuries that require first aid or medical care. The form shall be completed on the date of occurrence, shared with the parent, and maintained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policies regarding the care of mildly ill children and the exclusion of children due to illness and shall inform parents of these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written policy and procedures for responding to health-related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certificate of registration shall be displayed in a conspicuous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Serious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as defined in Iowa Code section </w:t>
      </w:r>
      <w:hyperlink r:id="rId16">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that occur in a child care facility or when a child is in the care of child care facility staff shall be reported to the department within 24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injuries shall be documented and information maintained in the child’s file as required by subrule 110.9(4).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110.8(2)</w:t>
      </w:r>
      <w:r>
        <w:rPr>
          <w:rFonts w:ascii="Times New Roman" w:hAnsi="Times New Roman"/>
          <w:b w:val="false"/>
          <w:i w:val="false"/>
          <w:color w:val="000000"/>
          <w:sz w:val="22"/>
        </w:rPr>
        <w:t> </w:t>
      </w:r>
      <w:r>
        <w:rPr>
          <w:rFonts w:ascii="Times New Roman" w:hAnsi="Times New Roman"/>
          <w:b w:val="false"/>
          <w:i/>
          <w:color w:val="000000"/>
          <w:sz w:val="22"/>
        </w:rPr>
        <w:t xml:space="preserve">Use of outdoor 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safe outdoor play area shall be maintained in good condition throughout the year. The play area shall be fenced off when located on a busy thoroughfare or near a hazard which may be injurious to a child and shall have both sunshine and shade areas. The play area shall be kept free from litter, rubbish, and flammable materials and shall be free from contamination by the drainage or ponding of sewage, household waste,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a swimming or wading pool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wading pool shall be drained daily and shall be inaccessible to children when it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aboveground or in-ground swimming pool that is not fenced shall be covered whenever the pool is not in use. The cover shall meet or exceed the ASTM International (formerly known as the American Society for Testing and Materials) specification intended to reduce the risk of drowning by inhibiting access to the water by children under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uncovered aboveground swimming pool shall be enclosed with an approved fence that is nonclimbable and is at least four feet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uncovered in-ground swimming pool shall be enclosed with an approved fence that is nonclimbable and is at least four feet high and flush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children are allowed to use an aboveground or in-ground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parents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needed to rescue a child or adult shall be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accompany the children and provide constant supervision while the children use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complete training in cardiopulmonary resuscitation for infants, toddlers, and children, according to the criteria of the American Red Cross or the American Heart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110.8(3)</w:t>
      </w:r>
      <w:r>
        <w:rPr>
          <w:rFonts w:ascii="Times New Roman" w:hAnsi="Times New Roman"/>
          <w:b w:val="false"/>
          <w:i w:val="false"/>
          <w:color w:val="000000"/>
          <w:sz w:val="22"/>
        </w:rPr>
        <w:t> </w:t>
      </w:r>
      <w:r>
        <w:rPr>
          <w:rFonts w:ascii="Times New Roman" w:hAnsi="Times New Roman"/>
          <w:b w:val="false"/>
          <w:i/>
          <w:color w:val="000000"/>
          <w:sz w:val="22"/>
        </w:rPr>
        <w:t xml:space="preserve">Medications and hazardous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medicines and poisonous, toxic, or otherwise unsafe materials shall be secured from access by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first-aid kit shall be available and easily accessible whenever children are in the child development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disposable tweezers, and disposable plastic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shall be stored in a separate, covered container so as to prevent contamination of food or other medications. All medications shall be stored so they are inaccessible to children. Any medication administered to a child shall be recorded, and the record shall indicate the name of the medication, the date and time of administration, and the amount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establish procedures related to infectious disease control and handling of any bodily excrement or discharge or blood. Soiled diapers shall be stored in containers separate from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110.8(4)</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Emergency plans in case of man-made or natural disaster shall be written and posted by the primary and secondary exits. The plans shall clearly map building evacuation routes and tornado and flood shelter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Fire and tornado drills shall be practiced monthly, and the provider shall keep documentation evidencing compliance with monthly practice on file for the current year and the previous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must have procedures in place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where the child is when it is unsafe to leave that location due to the emergent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plans for reunification with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110.8(5)</w:t>
      </w:r>
      <w:r>
        <w:rPr>
          <w:rFonts w:ascii="Times New Roman" w:hAnsi="Times New Roman"/>
          <w:b w:val="false"/>
          <w:i w:val="false"/>
          <w:color w:val="000000"/>
          <w:sz w:val="22"/>
        </w:rPr>
        <w:t> </w:t>
      </w:r>
      <w:r>
        <w:rPr>
          <w:rFonts w:ascii="Times New Roman" w:hAnsi="Times New Roman"/>
          <w:b w:val="false"/>
          <w:i/>
          <w:color w:val="000000"/>
          <w:sz w:val="22"/>
        </w:rPr>
        <w:t xml:space="preserve">Safe sleep.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follow safe sleep practices as recommended by the American Academy of Pediatrics for infants under the age of one. Infant sleep shall conform to the following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shall always be placed on their backs for sleep.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shall be placed on a firm mattress with a tight fitted sheet that meets U.S. Consumer Product Safety Commission federal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shall not be allowed to sleep on a bed, sofa, air mattress or other soft surface.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toys, soft objects, stuffed animals, pillows, bumper pads, blankets, or loose bedding shall be allowed in the sleeping area with the infant.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 co-sleeping shall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Sleeping infants shall be actively observed by sight and sound.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assistant authorization with statement of medical reason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child shall be allowed to sleep in any item not designed for sleeping including, but not limited to, an infant seat, car seat, swing, or bouncy seat.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which has a waterproof mattress covering and sufficient bedding to enable a child to rest comfortably and which meets the current standards or recommendations from the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110.8(6)</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Discipline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or discomfort to the child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Punishment shall not be administered because of a child’s illness, or progress or lack of progress in toilet training, nor shall punishment or threat of punishment be associated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Discipline shall be designed to help the child develop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110.8(7)</w:t>
      </w:r>
      <w:r>
        <w:rPr>
          <w:rFonts w:ascii="Times New Roman" w:hAnsi="Times New Roman"/>
          <w:b w:val="false"/>
          <w:i w:val="false"/>
          <w:color w:val="000000"/>
          <w:sz w:val="22"/>
        </w:rPr>
        <w:t> </w:t>
      </w:r>
      <w:r>
        <w:rPr>
          <w:rFonts w:ascii="Times New Roman" w:hAnsi="Times New Roman"/>
          <w:b w:val="false"/>
          <w:i/>
          <w:color w:val="000000"/>
          <w:sz w:val="22"/>
        </w:rPr>
        <w:t xml:space="preserve">Meals and snacks.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Regular meals and midmorning or midafternoon snacks shall be provided. The meals and snacks shall be well-balanced, nourishing, and in appropriate amounts as defined by the USDA Child and Adult Care Food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may bring food to the child development home for their own consumption but shall not be required to provide their own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sanitary drinking water shall be readily available to children in indoor and outdoor areas, throughout the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110.8(8)</w:t>
      </w:r>
      <w:r>
        <w:rPr>
          <w:rFonts w:ascii="Times New Roman" w:hAnsi="Times New Roman"/>
          <w:b w:val="false"/>
          <w:i w:val="false"/>
          <w:color w:val="000000"/>
          <w:sz w:val="22"/>
        </w:rPr>
        <w:t> </w:t>
      </w:r>
      <w:r>
        <w:rPr>
          <w:rFonts w:ascii="Times New Roman" w:hAnsi="Times New Roman"/>
          <w:b w:val="false"/>
          <w:i/>
          <w:color w:val="000000"/>
          <w:sz w:val="22"/>
        </w:rPr>
        <w:t xml:space="preserve">Activity program. </w:t>
      </w:r>
      <w:r>
        <w:rPr>
          <w:rFonts w:ascii="Times New Roman" w:hAnsi="Times New Roman"/>
          <w:b w:val="false"/>
          <w:i w:val="false"/>
          <w:color w:val="000000"/>
          <w:sz w:val="22"/>
        </w:rPr>
        <w:t>There shall be an activity program which promotes self-esteem and exploration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Active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Quiet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Activities for large-muscle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Activities for small-muscle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Play equipment and materials in a safe condition, for both indoor and outdoor activities which are developmentally appropriate for the ages and number of children present.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3096C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3556C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5488C</w:t>
      </w:r>
      <w:r>
        <w:rPr>
          <w:rFonts w:ascii="Times New Roman" w:hAnsi="Times New Roman"/>
          <w:b w:val="false"/>
          <w:i w:val="false"/>
          <w:color w:val="000000"/>
          <w:sz w:val="16"/>
        </w:rPr>
        <w:t>, IAB 3/10/21, effective 5/1/21</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441—110.9</w:t>
      </w:r>
      <w:r>
        <w:rPr>
          <w:rFonts w:ascii="Times New Roman" w:hAnsi="Times New Roman"/>
          <w:b/>
          <w:i w:val="false"/>
          <w:color w:val="000000"/>
          <w:sz w:val="22"/>
        </w:rPr>
        <w:t xml:space="preserve">(237A) </w:t>
      </w:r>
      <w:r>
        <w:rPr>
          <w:rFonts w:ascii="Times New Roman" w:hAnsi="Times New Roman"/>
          <w:b/>
          <w:i w:val="false"/>
          <w:color w:val="000000"/>
          <w:sz w:val="22"/>
        </w:rPr>
        <w:t xml:space="preserve">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110.9(1)</w:t>
      </w:r>
      <w:r>
        <w:rPr>
          <w:rFonts w:ascii="Times New Roman" w:hAnsi="Times New Roman"/>
          <w:b w:val="false"/>
          <w:i w:val="false"/>
          <w:color w:val="000000"/>
          <w:sz w:val="22"/>
        </w:rPr>
        <w:t> </w:t>
      </w:r>
      <w:r>
        <w:rPr>
          <w:rFonts w:ascii="Times New Roman" w:hAnsi="Times New Roman"/>
          <w:b w:val="false"/>
          <w:i w:val="false"/>
          <w:color w:val="000000"/>
          <w:sz w:val="22"/>
        </w:rPr>
        <w:t>A provider file shall be maintained and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physical examination report. Providers and all members of a provider’s household aged 18 years or older shall have good health as evidenced by a preregistration physical examination. Acceptable physical examinations shall be documented on Form 470-5152, Child Care Provider Physical Examination Report. All children residing in the household must have the medical documentation outlined in paragraphs </w:t>
      </w:r>
      <w:hyperlink r:id="rId17">
        <w:r>
          <w:rPr>
            <w:rStyle w:val="Hyperlink"/>
            <w:rFonts w:ascii="Times New Roman" w:hAnsi="Times New Roman"/>
            <w:b w:val="false"/>
            <w:i w:val="false"/>
            <w:color w:val="000000"/>
            <w:sz w:val="22"/>
          </w:rPr>
          <w:t>110.9(4)</w:t>
        </w:r>
        <w:r>
          <w:rPr>
            <w:rFonts w:ascii="Times New Roman" w:hAnsi="Times New Roman"/>
            <w:b w:val="false"/>
            <w:i/>
            <w:color w:val="000000"/>
            <w:sz w:val="22"/>
          </w:rPr>
          <w:t>“d,”</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I-PoWeR records or certificates verifying required training completion as set forth in </w:t>
      </w:r>
      <w:hyperlink r:id="rId18">
        <w:r>
          <w:rPr>
            <w:rStyle w:val="Hyperlink"/>
            <w:rFonts w:ascii="Times New Roman" w:hAnsi="Times New Roman"/>
            <w:b w:val="false"/>
            <w:i w:val="false"/>
            <w:color w:val="000000"/>
            <w:sz w:val="22"/>
          </w:rPr>
          <w:t>subrule 110.10(1)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110.9(2)</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staff assistant shall be maintained and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from the department which confirms that the record checks required under subrule </w:t>
      </w:r>
      <w:hyperlink r:id="rId19">
        <w:r>
          <w:rPr>
            <w:rStyle w:val="Hyperlink"/>
            <w:rFonts w:ascii="Times New Roman" w:hAnsi="Times New Roman"/>
            <w:b w:val="false"/>
            <w:i w:val="false"/>
            <w:color w:val="000000"/>
            <w:sz w:val="22"/>
          </w:rPr>
          <w:t>110.11(3)</w:t>
        </w:r>
      </w:hyperlink>
      <w:r>
        <w:rPr>
          <w:rFonts w:ascii="Times New Roman" w:hAnsi="Times New Roman"/>
          <w:b w:val="false"/>
          <w:i w:val="false"/>
          <w:color w:val="000000"/>
          <w:sz w:val="22"/>
        </w:rPr>
        <w:t xml:space="preserve"> have been completed and authorizes or conditionally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Form 470-5152, Child Care Provider Physical Examination Report, that meets the requirements of paragraph </w:t>
      </w:r>
      <w:hyperlink r:id="rId20">
        <w:r>
          <w:rPr>
            <w:rStyle w:val="Hyperlink"/>
            <w:rFonts w:ascii="Times New Roman" w:hAnsi="Times New Roman"/>
            <w:b w:val="false"/>
            <w:i w:val="false"/>
            <w:color w:val="000000"/>
            <w:sz w:val="22"/>
          </w:rPr>
          <w:t>110.9(1)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a minimum of two hours of approved training relating to the identification and reporting of child abuse as required by Iowa Code section </w:t>
      </w:r>
      <w:hyperlink r:id="rId2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completed within three months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110.9(3)</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substitute shall be maintained and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Documentation from the department which confirms that the record checks required under subrule </w:t>
      </w:r>
      <w:hyperlink r:id="rId22">
        <w:r>
          <w:rPr>
            <w:rStyle w:val="Hyperlink"/>
            <w:rFonts w:ascii="Times New Roman" w:hAnsi="Times New Roman"/>
            <w:b w:val="false"/>
            <w:i w:val="false"/>
            <w:color w:val="000000"/>
            <w:sz w:val="22"/>
          </w:rPr>
          <w:t>110.11(3)</w:t>
        </w:r>
      </w:hyperlink>
      <w:r>
        <w:rPr>
          <w:rFonts w:ascii="Times New Roman" w:hAnsi="Times New Roman"/>
          <w:b w:val="false"/>
          <w:i w:val="false"/>
          <w:color w:val="000000"/>
          <w:sz w:val="22"/>
        </w:rPr>
        <w:t xml:space="preserve"> have been completed and authorizes or conditionally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Form 470-5152, Child Care Provider Physical Examination Report, that meets the requirements of paragraph </w:t>
      </w:r>
      <w:hyperlink r:id="rId23">
        <w:r>
          <w:rPr>
            <w:rStyle w:val="Hyperlink"/>
            <w:rFonts w:ascii="Times New Roman" w:hAnsi="Times New Roman"/>
            <w:b w:val="false"/>
            <w:i w:val="false"/>
            <w:color w:val="000000"/>
            <w:sz w:val="22"/>
          </w:rPr>
          <w:t>110.9(1)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of a minimum of two hours of approved training relating to the identification and reporting of child abuse as required by Iowa Code section </w:t>
      </w:r>
      <w:hyperlink r:id="rId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completed within three months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in first aid that meets the requirements of paragraph </w:t>
      </w:r>
      <w:hyperlink r:id="rId25">
        <w:r>
          <w:rPr>
            <w:rStyle w:val="Hyperlink"/>
            <w:rFonts w:ascii="Times New Roman" w:hAnsi="Times New Roman"/>
            <w:b w:val="false"/>
            <w:i w:val="false"/>
            <w:color w:val="000000"/>
            <w:sz w:val="22"/>
          </w:rPr>
          <w:t>110.10(1)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or other documentation that minimum health and safety training has been completed in compliance with paragraph </w:t>
      </w:r>
      <w:hyperlink r:id="rId26">
        <w:r>
          <w:rPr>
            <w:rStyle w:val="Hyperlink"/>
            <w:rFonts w:ascii="Times New Roman" w:hAnsi="Times New Roman"/>
            <w:b w:val="false"/>
            <w:i w:val="false"/>
            <w:color w:val="000000"/>
            <w:sz w:val="22"/>
          </w:rPr>
          <w:t>110.10(1)</w:t>
        </w:r>
        <w:r>
          <w:rPr>
            <w:rFonts w:ascii="Times New Roman" w:hAnsi="Times New Roman"/>
            <w:b w:val="false"/>
            <w:i/>
            <w:color w:val="000000"/>
            <w:sz w:val="22"/>
          </w:rPr>
          <w:t>“a”</w:t>
        </w:r>
        <w:r>
          <w:rPr>
            <w:rFonts w:ascii="Times New Roman" w:hAnsi="Times New Roman"/>
            <w:b w:val="false"/>
            <w:i w:val="false"/>
            <w:color w:val="000000"/>
            <w:sz w:val="22"/>
          </w:rPr>
          <w:t xml:space="preserve"> within three months of a substitute’s hiring or before a substitute provides care, whichever occurs first.</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110.9(4)</w:t>
      </w:r>
      <w:r>
        <w:rPr>
          <w:rFonts w:ascii="Times New Roman" w:hAnsi="Times New Roman"/>
          <w:b w:val="false"/>
          <w:i w:val="false"/>
          <w:color w:val="000000"/>
          <w:sz w:val="22"/>
        </w:rPr>
        <w:t> </w:t>
      </w:r>
      <w:r>
        <w:rPr>
          <w:rFonts w:ascii="Times New Roman" w:hAnsi="Times New Roman"/>
          <w:b w:val="false"/>
          <w:i/>
          <w:color w:val="000000"/>
          <w:sz w:val="22"/>
        </w:rPr>
        <w:t xml:space="preserve">Children’s files. </w:t>
      </w:r>
      <w:r>
        <w:rPr>
          <w:rFonts w:ascii="Times New Roman" w:hAnsi="Times New Roman"/>
          <w:b w:val="false"/>
          <w:i w:val="false"/>
          <w:color w:val="000000"/>
          <w:sz w:val="22"/>
        </w:rPr>
        <w:t>An individual file for each child shall be maintained and updated annually or when the provider becomes aware of changes. The file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at a minimum, the child’s name and birth date; the parent’s name, address and telephone number; special needs of the child; and the parent’s work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contact information including, at a minimum, where the parent can be reached, the name, street address, city and telephone number of the child’s regular source of health care, and the name, telephone number, and relationship to the child of another adult available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signed medical consent from the parent authorizing emergency medical and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admission physical examination report signed by a licensed medical doctor, doctor of osteopathy, chiropractor, physician’s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of the physical examination shall not be more than 12 months before the child’s first day of attendance at the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report shall include the child’s past health history, status of the child’s present health, allergies and restrictive conditions, and recommendations for continued care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child who is five years of age or older and enrolled in school, a statement of health status signed by the parent or legal guardian may be substituted for the physical examination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examination report or statement of health status shall be on file before the child’s first day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children under the age of six, a statement of health condition signed by a licensed medical doctor, doctor of osteopathy, chiropractor, physician’s assistant or advanced registered nurse practitioner and submitted annually from the date of the admission physical examination. For a child who is enrolled in school, a statement of health status signed by the parent or legal guardian may be substituted for the statement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each school-age child, on the first day of attendance, documentation of a physical examination that was completed at the time of school enrollment or since.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and dated immunization certificate provided by the Iowa department of public health. For the school-age child, a copy of the most recent immunization record shall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any child with allergies, a written emergency care plan in case of an allergic reaction. A copy of this information shall accompany the child if the child leaves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Documentation that is signed by the parent and names persons authorized to pick up the child. The authorization shall include the name, telephone number, and relationship of the authorized person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permission from the parent for the child to attend activities away from the child development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Injury report forms documenting injuries requiring first aid or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the child meets the definition of homelessness as defined by Section 725(2) of the McKinney-Vento Homeless Education Assistance Act, the family shall receive a 60-day grace period to obtain medical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4753C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441—110.10</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110.10(1)</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registration, the provider shall complete minimum health and safety trainings, approved by the department, in all of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Child development, on or after August 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registration, the provider shall complete two hours of Iowa’s training for mandatory reporting of child abuse as required by Iowa Code section </w:t>
      </w:r>
      <w:hyperlink r:id="rId2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The provider shall maintain a valid certificate indicating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registration, the provider shall complete first-aid and cardiopulmonary resuscitation (CPR) training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by a nationally recognized training organization, such as the American Red Cross, American Heart Association, National Safety Council, the American Safety and Health Institute, or MEDIC First Aid or by an equivalent trainer using curriculum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CPR training shall include certification in infant and child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first-aid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CPR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During each two-year registration period, the provider shall receive a minimum of 24 hours of training from one or more of the following content areas. A provider shall not use a specific training or class to meet minimum continuing education requirements more than one time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Planning a safe, healthy learning environment (includes nutrition).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Steps to advance children’s physical and intellectual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Positive ways to support children’s social and emotional development (includes guidance and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Strategies to establish productive relationships with families (includes communication skills and cross-cultural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Strategies to manage an effective program operation (includes business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Maintaining a commitment to professionalism.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Observing and recording children’s behavior.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Principles of child growth and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Minimum health and safety training may be required if content has significant changes which warrant that the training be renewed.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provider who has completed training through a child care resource and referral agency or community college within six months prior to initial registration shall be permitted to count the training toward the provider’s total training required during the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110.10(2)</w:t>
      </w:r>
      <w:r>
        <w:rPr>
          <w:rFonts w:ascii="Times New Roman" w:hAnsi="Times New Roman"/>
          <w:b w:val="false"/>
          <w:i w:val="false"/>
          <w:color w:val="000000"/>
          <w:sz w:val="22"/>
        </w:rPr>
        <w:t> </w:t>
      </w:r>
      <w:r>
        <w:rPr>
          <w:rFonts w:ascii="Times New Roman" w:hAnsi="Times New Roman"/>
          <w:b w:val="false"/>
          <w:i/>
          <w:color w:val="000000"/>
          <w:sz w:val="22"/>
        </w:rPr>
        <w:t xml:space="preserve">Approved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must be conducted by a trainer who is employed by or under contract with one of the following entities or who uses curriculum or training materials developed by or obtained with the written permission of one of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accredited university or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State University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care resource and referral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area education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regents’ center for early developmental education at the 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hospital (for health and safety, first-aid, and CPR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American Red Cross, American Heart Association, National Safety Council, American Safety and Health Institute or MEDIC First Aid (for first-aid and CPR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 Iowa professional association, including the Iowa Association for the Education of Young Children (Iowa AEYC), the Iowa Family Child Care Association (IFCCA), the Iowa After School Alliance, and the Iowa Head Start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national professional association, including the National Association for the Education of Young Children (NAEYC), the National Child Care Association (NCCA), the National Association for Family Child Care (NAFCC), the National After School Association, and the American Academy of Pediatrics.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Child and Adult Care Food Program (CACFP) and the Special Supplemental Nutrition Program for Women, Infants and Children (WIC).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public health, department of education, or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Head Start agencies or the Head Start technical assistance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Organizations that are certified by the International Association for Continuing Education and Training (IACET).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Approved training shall be made available to Iowa child care providers through i-PoWeR.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approve more than eight hours of training delivered in a single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may randomly monitor any state-approved training for quality control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Training conducted with the provider during the hours of operation of the facility, during provider lunch hours, or while children are resting must not diminish the required ratio coverage. The provider shall not be actively engaged in care and supervision and simultaneously participate in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training organization not approved by the department may submit a request for review to the department on Form 470-4528, Request for Child Care Training Approval. All approvals, unless otherwise specified, shall be valid for five years. The department shall issue its decision within 30 business days of receipt of a complete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110.10(3)</w:t>
      </w:r>
      <w:r>
        <w:rPr>
          <w:rFonts w:ascii="Times New Roman" w:hAnsi="Times New Roman"/>
          <w:b w:val="false"/>
          <w:i w:val="false"/>
          <w:color w:val="000000"/>
          <w:sz w:val="22"/>
        </w:rPr>
        <w:t> </w:t>
      </w:r>
      <w:r>
        <w:rPr>
          <w:rFonts w:ascii="Times New Roman" w:hAnsi="Times New Roman"/>
          <w:b w:val="false"/>
          <w:i/>
          <w:color w:val="000000"/>
          <w:sz w:val="22"/>
        </w:rPr>
        <w:t xml:space="preserve">Elements of training. </w:t>
      </w:r>
      <w:r>
        <w:rPr>
          <w:rFonts w:ascii="Times New Roman" w:hAnsi="Times New Roman"/>
          <w:b w:val="false"/>
          <w:i w:val="false"/>
          <w:color w:val="000000"/>
          <w:sz w:val="22"/>
        </w:rPr>
        <w:t>Training provided to Iowa child care providers shall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Instruction that is consistent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child care regulatory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Iowa early learning standards;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philosophy of developmentally appropriate practice as defined by the National Association for the Education of Young Children, the Program for Infant/Toddler Care, and the National Health and Safety Performance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Content equal to at least one contact hour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opportunity for teacher-student interaction and timely feedback, including questions and answers and with evaluation of learning.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participant, a certificate of training that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content area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training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number of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3556C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4753C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441—110.11</w:t>
      </w:r>
      <w:r>
        <w:rPr>
          <w:rFonts w:ascii="Times New Roman" w:hAnsi="Times New Roman"/>
          <w:b/>
          <w:i w:val="false"/>
          <w:color w:val="000000"/>
          <w:sz w:val="22"/>
        </w:rPr>
        <w:t xml:space="preserve">(234) </w:t>
      </w:r>
      <w:r>
        <w:rPr>
          <w:rFonts w:ascii="Times New Roman" w:hAnsi="Times New Roman"/>
          <w:b/>
          <w:i w:val="false"/>
          <w:color w:val="000000"/>
          <w:sz w:val="22"/>
        </w:rPr>
        <w:t xml:space="preserve">Registration decision. </w:t>
      </w:r>
      <w:r>
        <w:rPr>
          <w:rFonts w:ascii="Times New Roman" w:hAnsi="Times New Roman"/>
          <w:b w:val="false"/>
          <w:i w:val="false"/>
          <w:color w:val="000000"/>
          <w:sz w:val="22"/>
        </w:rPr>
        <w:t>The department shall issue Form 470-3498, Certificate of Registration, when an applicant meets all requirements for registration. Each local office of the department shall maintain a current list of registered child development homes as a referral service 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110.11(1)</w:t>
      </w:r>
      <w:r>
        <w:rPr>
          <w:rFonts w:ascii="Times New Roman" w:hAnsi="Times New Roman"/>
          <w:b w:val="false"/>
          <w:i w:val="false"/>
          <w:color w:val="000000"/>
          <w:sz w:val="22"/>
        </w:rPr>
        <w:t> </w:t>
      </w:r>
      <w:r>
        <w:rPr>
          <w:rFonts w:ascii="Times New Roman" w:hAnsi="Times New Roman"/>
          <w:b w:val="false"/>
          <w:i w:val="false"/>
          <w:color w:val="000000"/>
          <w:sz w:val="22"/>
        </w:rPr>
        <w:t>Registration shall be denied or revoked if the department finds a hazard to the safety and well-being of a child and the provider cannot correct or refuses to correct the hazard, even though the hazard may not have been specifically listed under the health and safety rules. Registration may also be denied or revoked if the department determines that the provider has failed to comply with standards imposed by law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110.11(2)</w:t>
      </w:r>
      <w:r>
        <w:rPr>
          <w:rFonts w:ascii="Times New Roman" w:hAnsi="Times New Roman"/>
          <w:b w:val="false"/>
          <w:i w:val="false"/>
          <w:color w:val="000000"/>
          <w:sz w:val="22"/>
        </w:rPr>
        <w:t> </w:t>
      </w:r>
      <w:r>
        <w:rPr>
          <w:rFonts w:ascii="Times New Roman" w:hAnsi="Times New Roman"/>
          <w:b w:val="false"/>
          <w:i w:val="false"/>
          <w:color w:val="000000"/>
          <w:sz w:val="22"/>
        </w:rPr>
        <w:t>Record of all denials or revocations of registration and the documentation of reasons for denying or revoking the registration shall be kept in an open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110.11(3)</w:t>
      </w:r>
      <w:r>
        <w:rPr>
          <w:rFonts w:ascii="Times New Roman" w:hAnsi="Times New Roman"/>
          <w:b w:val="false"/>
          <w:i w:val="false"/>
          <w:color w:val="000000"/>
          <w:sz w:val="22"/>
        </w:rPr>
        <w:t> </w:t>
      </w:r>
      <w:r>
        <w:rPr>
          <w:rFonts w:ascii="Times New Roman" w:hAnsi="Times New Roman"/>
          <w:b w:val="false"/>
          <w:i w:val="false"/>
          <w:color w:val="000000"/>
          <w:sz w:val="22"/>
        </w:rPr>
        <w:t>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department shall conduct Iowa criminal history record and child abuse record checks for each registrant, substitute or staff member, anyone living in the home who is 14 years of age or older, and anyone having access to a child when the child is alone. The department shall conduct national criminal history record checks, based on fingerprints, for each registrant, substitute or staff member, anyone living in the home who is 18 years of age or older, and anyone 18 years of age or older having access to a child when the child is alone. In accordance with Iowa Code section </w:t>
      </w:r>
      <w:hyperlink r:id="rId28">
        <w:r>
          <w:rPr>
            <w:rStyle w:val="Hyperlink"/>
            <w:rFonts w:ascii="Times New Roman" w:hAnsi="Times New Roman"/>
            <w:b w:val="false"/>
            <w:i w:val="false"/>
            <w:color w:val="000000"/>
            <w:sz w:val="22"/>
          </w:rPr>
          <w:t>726.23</w:t>
        </w:r>
      </w:hyperlink>
      <w:r>
        <w:rPr>
          <w:rFonts w:ascii="Times New Roman" w:hAnsi="Times New Roman"/>
          <w:b w:val="false"/>
          <w:i w:val="false"/>
          <w:color w:val="000000"/>
          <w:sz w:val="22"/>
        </w:rPr>
        <w:t>, minors under the age of 18 will not be subject to the fingerprint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record checks is to determine whether the person has committed a transgression that prohibits or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July 1, 2013, registration or renewal certificates shall not be issued until the results of all state and national record checks have been received and, when necessary,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person subject to record checks shall complete the Iowa department of human services record check authorization form; Form DCI-45, Waiver Agreement; Form FD-258, Federal Fingerprint Card;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history records shall be completed before the person’s involvement with child care. Iowa records checks shall be repeated at a minimum of every two years and when the department or the registrant becomes aware of any possible transgressions. The department is responsible for the cost of conducting the Iowa records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record checks. </w:t>
      </w:r>
      <w:r>
        <w:rPr>
          <w:rFonts w:ascii="Times New Roman" w:hAnsi="Times New Roman"/>
          <w:b w:val="false"/>
          <w:i w:val="false"/>
          <w:color w:val="000000"/>
          <w:sz w:val="22"/>
        </w:rPr>
        <w:t>Fingerprint-based checks of national criminal history records shall also be completed before a person’s involvement with child care. This requirement shall be for an initial application for registration or a renewal application for registration. The national criminal history record check shall be repeated for each person subject to the check every four years and when the department or registrant becomes aware of any new transgressions committed by that person in another state. The department is responsible for the cost of conducting the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registrant is responsible for any costs associated with the taking (rolling) of fingerprints of all persons subject to record checks and for submitting the fingerprints to the department so that the national criminal history record check can be completed. Fingerprints may be taken (rolled) by law enforcement agencies or by agencies or companies that specialize in taking (rolling) fingerprints.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fingerprints to the department of public safety no later than ten business days after receipt of the fingerprint cards. The department shall submit the fingerprints on forms or in a manner allowed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prohibition. </w:t>
      </w:r>
      <w:r>
        <w:rPr>
          <w:rFonts w:ascii="Times New Roman" w:hAnsi="Times New Roman"/>
          <w:b w:val="false"/>
          <w:i w:val="false"/>
          <w:color w:val="000000"/>
          <w:sz w:val="22"/>
        </w:rPr>
        <w:t>A person with any of the following convictions or founded abuse reports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Founded child or dependent adult abuse that was determined to be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requirement to be listed on any state sex offender registry or the national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of the following felony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Child endangerment or neglect or abandonment of a dependent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Domestic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Crime against a child including, but not limited to, sexual exploitation of a minor.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Forcible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A record of a misdemeanor conviction of a crime against a child that constitutes one of the following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endangerment.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pornography.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person subject to a record check refuses to consent to a record check, the person shall be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person has been convicted of a crime and makes what the person knows to be a false statement of material fact in connection with the conviction or record check, the person shall be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Mandatory time-limited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with the following conviction or founded abuse report is prohibited from involvement with child care for five years from the date of the conviction or founded abuse report: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Conviction of a controlled substance offense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Founded abuse that was determined to be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five-year prohibition period (from the date of the conviction or the founded abuse report) as defined in subparagraph </w:t>
      </w:r>
      <w:hyperlink r:id="rId29">
        <w:r>
          <w:rPr>
            <w:rStyle w:val="Hyperlink"/>
            <w:rFonts w:ascii="Times New Roman" w:hAnsi="Times New Roman"/>
            <w:b w:val="false"/>
            <w:i w:val="false"/>
            <w:color w:val="000000"/>
            <w:sz w:val="22"/>
          </w:rPr>
          <w:t>110.11(3)</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person may request the department to perform an evaluation under paragraph </w:t>
      </w:r>
      <w:hyperlink r:id="rId30">
        <w:r>
          <w:rPr>
            <w:rStyle w:val="Hyperlink"/>
            <w:rFonts w:ascii="Times New Roman" w:hAnsi="Times New Roman"/>
            <w:b w:val="false"/>
            <w:i w:val="false"/>
            <w:color w:val="000000"/>
            <w:sz w:val="22"/>
          </w:rPr>
          <w:t>110.11(3)</w:t>
        </w:r>
        <w:r>
          <w:rPr>
            <w:rFonts w:ascii="Times New Roman" w:hAnsi="Times New Roman"/>
            <w:b w:val="false"/>
            <w:i/>
            <w:color w:val="000000"/>
            <w:sz w:val="22"/>
          </w:rPr>
          <w:t>“g”</w:t>
        </w:r>
      </w:hyperlink>
      <w:r>
        <w:rPr>
          <w:rFonts w:ascii="Times New Roman" w:hAnsi="Times New Roman"/>
          <w:b w:val="false"/>
          <w:i w:val="false"/>
          <w:color w:val="000000"/>
          <w:sz w:val="22"/>
        </w:rPr>
        <w:t xml:space="preserve"> to determine whether prohibition of the person’s involvement with child care continues to be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 xml:space="preserve">For all other transgressions, and as requested under subparagraph </w:t>
      </w:r>
      <w:hyperlink r:id="rId31">
        <w:r>
          <w:rPr>
            <w:rStyle w:val="Hyperlink"/>
            <w:rFonts w:ascii="Times New Roman" w:hAnsi="Times New Roman"/>
            <w:b w:val="false"/>
            <w:i w:val="false"/>
            <w:color w:val="000000"/>
            <w:sz w:val="22"/>
          </w:rPr>
          <w:t>110.11(3)</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the department shall evaluate the transgression and make a decision about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shall complete and return the record check evaluation form within ten calendar days of the date on the form. The department shall use the information the person with the transgression provides on this form to assist in the evaluation. Failure of the person with the transgression to complete and return this form within ten calendar days of the date on the form shall result in denial or revocation of the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evaluation, the department shall consider all of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and seriousness of the transgression in relation to the position sought or held.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time elapsed since the commission of the transgression.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under which the transgression was committed.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likelihood that the person will commit the transgression again.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number of transgressions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restrictions placed on the person’s employment by the department in the previous evaluation shall remain applicable in the person’s subsequent employment.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subsequent employer may request a reevaluation of the record check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has final authority in determining whether prohibition of the person’s involvement with child care is warranted and in developing any conditional requirements or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shall make a decision on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shall mail to the person subject to an evaluation a record check decision that explains the decision reached regarding the evaluation of the transgression and a notice of decision: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notice of decision: child care prohibiting involvement with child care when the person subject to an evaluation fails to complete the record check evaluation within the ten-calendar-day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registrant, these conditional requirements shall be developed with the registrant. All conditions placed on a person’s involvement with child care shall be communicated, in writing, to both the person subject to the evaluation and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reevaluate any transgressions where a state or federal law change requires different considerations of the transgression than had been previously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of abuse in care. </w:t>
      </w:r>
      <w:r>
        <w:rPr>
          <w:rFonts w:ascii="Times New Roman" w:hAnsi="Times New Roman"/>
          <w:b w:val="false"/>
          <w:i w:val="false"/>
          <w:color w:val="000000"/>
          <w:sz w:val="22"/>
        </w:rPr>
        <w:t xml:space="preserve">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facility or child care home shall cooperate with the department in providing the names and addresses of the parent, guardian, or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information shall be provided to the department within ten calendar days from the date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or refusal to provide the requested information may result in revocation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has denied or revoked a registration because the provider has continually or repeatedly failed to operate in compliance with Iowa Code chapter </w:t>
      </w:r>
      <w:hyperlink r:id="rId32">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and this chapter, the person shall not own or operate a registered facility for a period of 12 months from the date of denial or revocation. The department shall not act on an application for registration submitted by the applicant or provider during the 12-month period. The applicant shall be prohibited from involvement with child care unless the department specifically permits the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110.11(5)</w:t>
      </w:r>
      <w:r>
        <w:rPr>
          <w:rFonts w:ascii="Times New Roman" w:hAnsi="Times New Roman"/>
          <w:b w:val="false"/>
          <w:i w:val="false"/>
          <w:color w:val="000000"/>
          <w:sz w:val="22"/>
        </w:rPr>
        <w:t> </w:t>
      </w:r>
      <w:r>
        <w:rPr>
          <w:rFonts w:ascii="Times New Roman" w:hAnsi="Times New Roman"/>
          <w:b w:val="false"/>
          <w:i w:val="false"/>
          <w:color w:val="000000"/>
          <w:sz w:val="22"/>
        </w:rPr>
        <w:t>Required notifications. If a certificate of registration is revoked, the administrator of the department shall notify the parent, guardian, or legal custodian of each child for whom the facility provides care. The provider shall cooperate with the department in providing the name and address of the parent, guardian, or legal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110.11(6)</w:t>
      </w:r>
      <w:r>
        <w:rPr>
          <w:rFonts w:ascii="Times New Roman" w:hAnsi="Times New Roman"/>
          <w:b w:val="false"/>
          <w:i w:val="false"/>
          <w:color w:val="000000"/>
          <w:sz w:val="22"/>
        </w:rPr>
        <w:t> </w:t>
      </w:r>
      <w:r>
        <w:rPr>
          <w:rFonts w:ascii="Times New Roman" w:hAnsi="Times New Roman"/>
          <w:b w:val="false"/>
          <w:i w:val="false"/>
          <w:color w:val="000000"/>
          <w:sz w:val="22"/>
        </w:rPr>
        <w:t>Required notifications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within ten days, notify the department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in assistants or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household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changes;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Criminal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assistant, substitute, or coprovider shall be utilized in the care of children and no person shall be permitted to reside in the household until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provider does not notify the department of changes within ten days, the provider may be subject to revocation of registration or to recoupment of child care assistance provided,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110.11(7)</w:t>
      </w:r>
      <w:r>
        <w:rPr>
          <w:rFonts w:ascii="Times New Roman" w:hAnsi="Times New Roman"/>
          <w:b w:val="false"/>
          <w:i w:val="false"/>
          <w:color w:val="000000"/>
          <w:sz w:val="22"/>
        </w:rPr>
        <w:t> </w:t>
      </w:r>
      <w:r>
        <w:rPr>
          <w:rFonts w:ascii="Times New Roman" w:hAnsi="Times New Roman"/>
          <w:b w:val="false"/>
          <w:i w:val="false"/>
          <w:color w:val="000000"/>
          <w:sz w:val="22"/>
        </w:rPr>
        <w:t>Letter of revocation. A letter received by an owner or operator of a child development home initiating action to deny or revoke the home’s registration shall be conspicuously posted where it can be read by parents or any member of the public. The letter shall remain posted until resolution of the action to deny or revoke an owner’s or operator’s certificate of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4114C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441—110.12</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Complaints. </w:t>
      </w:r>
      <w:r>
        <w:rPr>
          <w:rFonts w:ascii="Times New Roman" w:hAnsi="Times New Roman"/>
          <w:b w:val="false"/>
          <w:i w:val="false"/>
          <w:color w:val="000000"/>
          <w:sz w:val="22"/>
        </w:rPr>
        <w:t>The department shall conduct an on-site visit when a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110.12(1)</w:t>
      </w:r>
      <w:r>
        <w:rPr>
          <w:rFonts w:ascii="Times New Roman" w:hAnsi="Times New Roman"/>
          <w:b w:val="false"/>
          <w:i w:val="false"/>
          <w:color w:val="000000"/>
          <w:sz w:val="22"/>
        </w:rPr>
        <w:t> </w:t>
      </w:r>
      <w:r>
        <w:rPr>
          <w:rFonts w:ascii="Times New Roman" w:hAnsi="Times New Roman"/>
          <w:b w:val="false"/>
          <w:i w:val="false"/>
          <w:color w:val="000000"/>
          <w:sz w:val="22"/>
        </w:rPr>
        <w:t>After each complaint visit, the department shall document whether the child development home was in compliance with registration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110.12(2)</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the child development home was in compliance with requirements shall be available to the public. However, the identity of all complainants shall be confidential,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441—110.13</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A. </w:t>
      </w:r>
      <w:r>
        <w:rPr>
          <w:rFonts w:ascii="Times New Roman" w:hAnsi="Times New Roman"/>
          <w:b w:val="false"/>
          <w:i w:val="false"/>
          <w:color w:val="000000"/>
          <w:sz w:val="22"/>
        </w:rPr>
        <w:t xml:space="preserve">In addition to the requirements in rule </w:t>
      </w:r>
      <w:hyperlink r:id="rId33">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A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six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six children, no more than four children who are 24 months of age or younger shall be present at any one time. Of these four children, no more than three may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six children not in school, no more than two children who attend school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110.13(2)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18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three written references which attest to character and ability to provide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441—110.14</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B. </w:t>
      </w:r>
      <w:r>
        <w:rPr>
          <w:rFonts w:ascii="Times New Roman" w:hAnsi="Times New Roman"/>
          <w:b w:val="false"/>
          <w:i w:val="false"/>
          <w:color w:val="000000"/>
          <w:sz w:val="22"/>
        </w:rPr>
        <w:t xml:space="preserve">In addition to the requirements in rule </w:t>
      </w:r>
      <w:hyperlink r:id="rId34">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B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eight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eight children, no more than four children who are 24 months of age or younger shall be present at any one time. Of these four children, no more than three may be 12 months of age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eight children not in school, no more than four children who attend school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12 children shall be present at any one time when an emergency school closing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at any one time for a period of more than two hours, the provider shall be assisted by a department-approved assistant who is at least 14 years old, unless extra children are present as a result of an emergency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20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two years of experience as a registered or nonregistered child care provider,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child development associate credential or any two-year or four-year degree in a child care-related field and one year of experience as a registered or nonregistered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110.14(3)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basement window may be used as an exit if the window can be opened from the inside without the use of tools and it provides a clear opening of not less than 20 inches in width, 24 inches in height, and </w:t>
      </w:r>
      <w:hyperlink r:id="rId35">
        <w:r>
          <w:rPr>
            <w:rStyle w:val="Hyperlink"/>
            <w:rFonts w:ascii="Times New Roman" w:hAnsi="Times New Roman"/>
            <w:b w:val="false"/>
            <w:i w:val="false"/>
            <w:color w:val="000000"/>
            <w:sz w:val="22"/>
          </w:rPr>
          <w:t>5.7</w:t>
        </w:r>
      </w:hyperlink>
      <w:r>
        <w:rPr>
          <w:rFonts w:ascii="Times New Roman" w:hAnsi="Times New Roman"/>
          <w:b w:val="false"/>
          <w:i w:val="false"/>
          <w:color w:val="000000"/>
          <w:sz w:val="22"/>
        </w:rPr>
        <w:t xml:space="preserve">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shall 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5488C</w:t>
      </w:r>
      <w:r>
        <w:rPr>
          <w:rFonts w:ascii="Times New Roman" w:hAnsi="Times New Roman"/>
          <w:b w:val="false"/>
          <w:i w:val="false"/>
          <w:color w:val="000000"/>
          <w:sz w:val="16"/>
        </w:rPr>
        <w:t>, IAB 3/10/21, effective 5/1/21</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441—110.15</w:t>
      </w:r>
      <w:r>
        <w:rPr>
          <w:rFonts w:ascii="Times New Roman" w:hAnsi="Times New Roman"/>
          <w:b/>
          <w:i w:val="false"/>
          <w:color w:val="000000"/>
          <w:sz w:val="22"/>
        </w:rPr>
        <w:t xml:space="preserve">(237A) </w:t>
      </w:r>
      <w:r>
        <w:rPr>
          <w:rFonts w:ascii="Times New Roman" w:hAnsi="Times New Roman"/>
          <w:b/>
          <w:i w:val="false"/>
          <w:color w:val="000000"/>
          <w:sz w:val="22"/>
        </w:rPr>
        <w:t xml:space="preserve">Additional requirements for child development home category C. </w:t>
      </w:r>
      <w:r>
        <w:rPr>
          <w:rFonts w:ascii="Times New Roman" w:hAnsi="Times New Roman"/>
          <w:b w:val="false"/>
          <w:i w:val="false"/>
          <w:color w:val="000000"/>
          <w:sz w:val="22"/>
        </w:rPr>
        <w:t xml:space="preserve">In addition to the requirements in rule </w:t>
      </w:r>
      <w:hyperlink r:id="rId36">
        <w:r>
          <w:rPr>
            <w:rStyle w:val="Hyperlink"/>
            <w:rFonts w:ascii="Times New Roman" w:hAnsi="Times New Roman"/>
            <w:b w:val="false"/>
            <w:i w:val="false"/>
            <w:color w:val="000000"/>
            <w:sz w:val="22"/>
          </w:rPr>
          <w:t>441—110.8</w:t>
        </w:r>
      </w:hyperlink>
      <w:r>
        <w:rPr>
          <w:rFonts w:ascii="Times New Roman" w:hAnsi="Times New Roman"/>
          <w:b w:val="false"/>
          <w:i w:val="false"/>
          <w:color w:val="000000"/>
          <w:sz w:val="22"/>
        </w:rPr>
        <w:t>(237A), a provider requesting registration in child development home category C shall meet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110.15(1)</w:t>
      </w:r>
      <w:r>
        <w:rPr>
          <w:rFonts w:ascii="Times New Roman" w:hAnsi="Times New Roman"/>
          <w:b w:val="false"/>
          <w:i w:val="false"/>
          <w:color w:val="000000"/>
          <w:sz w:val="22"/>
        </w:rPr>
        <w:t> </w:t>
      </w:r>
      <w:r>
        <w:rPr>
          <w:rFonts w:ascii="Times New Roman" w:hAnsi="Times New Roman"/>
          <w:b w:val="false"/>
          <w:i/>
          <w:color w:val="000000"/>
          <w:sz w:val="22"/>
        </w:rPr>
        <w:t xml:space="preserve">Limits on number of children in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more than 14 children not attending kindergarten or a higher grade level shall be present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Of these 14 children, no more than 6 children who are 24 months of age or younger shall be present at any one time. Whenever four children who are under the age of 12 months are in care, both providers shall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addition to the 14 children not in school, no more than 2 children who attend school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 more than 16 children shall be present at any one time when an emergency school closing is in effect.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more than eight children are present, both providers shall be present. Each provider shall meet the provider qualifications for child development home category 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110.15(2)</w:t>
      </w:r>
      <w:r>
        <w:rPr>
          <w:rFonts w:ascii="Times New Roman" w:hAnsi="Times New Roman"/>
          <w:b w:val="false"/>
          <w:i w:val="false"/>
          <w:color w:val="000000"/>
          <w:sz w:val="22"/>
        </w:rPr>
        <w:t> </w:t>
      </w:r>
      <w:r>
        <w:rPr>
          <w:rFonts w:ascii="Times New Roman" w:hAnsi="Times New Roman"/>
          <w:b w:val="false"/>
          <w:i/>
          <w:color w:val="000000"/>
          <w:sz w:val="22"/>
        </w:rPr>
        <w:t xml:space="preserve">Provider qualifications.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provider who meets the following qualifications must always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have a high school diploma, GED, or documentation of current or previous enrollment in credit-based coursework from a postsecondary educational institution that is an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either: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Have five years of experience as a registered or nonregistered child care provider,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Have a child development associate credential or any two-year or four-year degree in a child care-related field and four years of experience as a registered or nonregistered child care home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coprovider shall meet the requirements of subrule </w:t>
      </w:r>
      <w:hyperlink r:id="rId37">
        <w:r>
          <w:rPr>
            <w:rStyle w:val="Hyperlink"/>
            <w:rFonts w:ascii="Times New Roman" w:hAnsi="Times New Roman"/>
            <w:b w:val="false"/>
            <w:i w:val="false"/>
            <w:color w:val="000000"/>
            <w:sz w:val="22"/>
          </w:rPr>
          <w:t>110.14(2)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more than two named providers shall be allowed on a registration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110.15(3)</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35 square feet of child-use floor space for each child in care indoors, and a minimum of 50 square feet per child in care outdoors.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home shall have a separate quiet area for sick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home shall have a minimum of two direct exits to the outside from the main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second level or the basement of the home is used for the provision of child care, other than the use of a restroom, each additional child-occupied floor shall have at least one direct exit to the outside in addition to one inside stairway.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exits shall terminate at grade level with permanent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basement window may be used as an exit if the window can be opened from the inside without the use of tools and it provides a clear opening of not less than 20 inches in width, 24 inches in height, and </w:t>
      </w:r>
      <w:hyperlink r:id="rId38">
        <w:r>
          <w:rPr>
            <w:rStyle w:val="Hyperlink"/>
            <w:rFonts w:ascii="Times New Roman" w:hAnsi="Times New Roman"/>
            <w:b w:val="false"/>
            <w:i w:val="false"/>
            <w:color w:val="000000"/>
            <w:sz w:val="22"/>
          </w:rPr>
          <w:t>5.7</w:t>
        </w:r>
      </w:hyperlink>
      <w:r>
        <w:rPr>
          <w:rFonts w:ascii="Times New Roman" w:hAnsi="Times New Roman"/>
          <w:b w:val="false"/>
          <w:i w:val="false"/>
          <w:color w:val="000000"/>
          <w:sz w:val="22"/>
        </w:rPr>
        <w:t xml:space="preserve"> square feet in area. The bottom of the opening shall be not more than 44 inches above the floor, with permanent steps inside leading up to the window.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Occupancy above the second floor shall not be permitted for child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5488C</w:t>
      </w:r>
      <w:r>
        <w:rPr>
          <w:rFonts w:ascii="Times New Roman" w:hAnsi="Times New Roman"/>
          <w:b w:val="false"/>
          <w:i w:val="false"/>
          <w:color w:val="000000"/>
          <w:sz w:val="16"/>
        </w:rPr>
        <w:t>, IAB 3/10/21, effective 5/1/21</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441—110.16</w:t>
      </w:r>
      <w:r>
        <w:rPr>
          <w:rFonts w:ascii="Times New Roman" w:hAnsi="Times New Roman"/>
          <w:b/>
          <w:i w:val="false"/>
          <w:color w:val="000000"/>
          <w:sz w:val="22"/>
        </w:rPr>
        <w:t xml:space="preserve">(237A) </w:t>
      </w:r>
      <w:r>
        <w:rPr>
          <w:rFonts w:ascii="Times New Roman" w:hAnsi="Times New Roman"/>
          <w:b/>
          <w:i w:val="false"/>
          <w:color w:val="000000"/>
          <w:sz w:val="22"/>
        </w:rPr>
        <w:t xml:space="preserve">Registration actions for nonpayment of child support. </w:t>
      </w:r>
      <w:r>
        <w:rPr>
          <w:rFonts w:ascii="Times New Roman" w:hAnsi="Times New Roman"/>
          <w:b w:val="false"/>
          <w:i w:val="false"/>
          <w:color w:val="000000"/>
          <w:sz w:val="22"/>
        </w:rPr>
        <w:t xml:space="preserve">The department shall revoke or deny the issuance or renewal of a child development home registration upon the receipt of a certificate of noncompliance from the child support recovery unit of the department according to the procedures in Iowa Code chapter </w:t>
      </w:r>
      <w:hyperlink r:id="rId3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In addition to the procedures set forth in Iowa Code chapter </w:t>
      </w:r>
      <w:hyperlink r:id="rId4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the rules in this chapter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110.16(1)</w:t>
      </w:r>
      <w:r>
        <w:rPr>
          <w:rFonts w:ascii="Times New Roman" w:hAnsi="Times New Roman"/>
          <w:b w:val="false"/>
          <w:i w:val="false"/>
          <w:color w:val="000000"/>
          <w:sz w:val="22"/>
        </w:rPr>
        <w:t> </w:t>
      </w:r>
      <w:r>
        <w:rPr>
          <w:rFonts w:ascii="Times New Roman" w:hAnsi="Times New Roman"/>
          <w:b w:val="false"/>
          <w:i/>
          <w:color w:val="000000"/>
          <w:sz w:val="22"/>
        </w:rPr>
        <w:t xml:space="preserve">Service of notice. </w:t>
      </w:r>
      <w:r>
        <w:rPr>
          <w:rFonts w:ascii="Times New Roman" w:hAnsi="Times New Roman"/>
          <w:b w:val="false"/>
          <w:i w:val="false"/>
          <w:color w:val="000000"/>
          <w:sz w:val="22"/>
        </w:rPr>
        <w:t xml:space="preserve">The notice required by Iowa Code section </w:t>
      </w:r>
      <w:hyperlink r:id="rId4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applicant or registrant by restricted certified mail, return receipt requested, or personal service in accordance with Iowa Rule of Civil Procedure </w:t>
      </w:r>
      <w:r>
        <w:rPr>
          <w:rFonts w:ascii="Times New Roman" w:hAnsi="Times New Roman"/>
          <w:b w:val="false"/>
          <w:i w:val="false"/>
          <w:color w:val="000000"/>
          <w:sz w:val="22"/>
        </w:rPr>
        <w:t>1.305</w:t>
      </w:r>
      <w:r>
        <w:rPr>
          <w:rFonts w:ascii="Times New Roman" w:hAnsi="Times New Roman"/>
          <w:b w:val="false"/>
          <w:i w:val="false"/>
          <w:color w:val="000000"/>
          <w:sz w:val="22"/>
        </w:rPr>
        <w:t>. Alternatively, the applicant or registrant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110.16(2)</w:t>
      </w:r>
      <w:r>
        <w:rPr>
          <w:rFonts w:ascii="Times New Roman" w:hAnsi="Times New Roman"/>
          <w:b w:val="false"/>
          <w:i w:val="false"/>
          <w:color w:val="000000"/>
          <w:sz w:val="22"/>
        </w:rPr>
        <w:t> </w:t>
      </w:r>
      <w:r>
        <w:rPr>
          <w:rFonts w:ascii="Times New Roman" w:hAnsi="Times New Roman"/>
          <w:b w:val="false"/>
          <w:i/>
          <w:color w:val="000000"/>
          <w:sz w:val="22"/>
        </w:rPr>
        <w:t xml:space="preserve">Effective date. </w:t>
      </w:r>
      <w:r>
        <w:rPr>
          <w:rFonts w:ascii="Times New Roman" w:hAnsi="Times New Roman"/>
          <w:b w:val="false"/>
          <w:i w:val="false"/>
          <w:color w:val="000000"/>
          <w:sz w:val="22"/>
        </w:rPr>
        <w:t xml:space="preserve">The effective date of the revocation or denial of the registration as specified in the notice required by Iowa Code section </w:t>
      </w:r>
      <w:hyperlink r:id="rId4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60 days following service of the notice upon the applicant or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110.16(3)</w:t>
      </w:r>
      <w:r>
        <w:rPr>
          <w:rFonts w:ascii="Times New Roman" w:hAnsi="Times New Roman"/>
          <w:b w:val="false"/>
          <w:i w:val="false"/>
          <w:color w:val="000000"/>
          <w:sz w:val="22"/>
        </w:rPr>
        <w:t> </w:t>
      </w:r>
      <w:r>
        <w:rPr>
          <w:rFonts w:ascii="Times New Roman" w:hAnsi="Times New Roman"/>
          <w:b w:val="false"/>
          <w:i/>
          <w:color w:val="000000"/>
          <w:sz w:val="22"/>
        </w:rPr>
        <w:t xml:space="preserve">Preparation of notice. </w:t>
      </w:r>
      <w:r>
        <w:rPr>
          <w:rFonts w:ascii="Times New Roman" w:hAnsi="Times New Roman"/>
          <w:b w:val="false"/>
          <w:i w:val="false"/>
          <w:color w:val="000000"/>
          <w:sz w:val="22"/>
        </w:rPr>
        <w:t xml:space="preserve">The department director or designee of the director is authorized to prepare and serve the notice as required by Iowa Code section </w:t>
      </w:r>
      <w:hyperlink r:id="rId4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upon the applicant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110.16(4)</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registrants and applicants. </w:t>
      </w:r>
      <w:r>
        <w:rPr>
          <w:rFonts w:ascii="Times New Roman" w:hAnsi="Times New Roman"/>
          <w:b w:val="false"/>
          <w:i w:val="false"/>
          <w:color w:val="000000"/>
          <w:sz w:val="22"/>
        </w:rPr>
        <w:t xml:space="preserve">Registrants and registrant applicants shall keep the department informed of all court actions, and all child support recovery unit actions taken under or in connection with Iowa Code chapter </w:t>
      </w:r>
      <w:hyperlink r:id="rId4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department copies, within seven days of filing or issuance, of all applications filed with the district court pursuant to Iowa Code section </w:t>
      </w:r>
      <w:hyperlink r:id="rId4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the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110.16(5)</w:t>
      </w:r>
      <w:r>
        <w:rPr>
          <w:rFonts w:ascii="Times New Roman" w:hAnsi="Times New Roman"/>
          <w:b w:val="false"/>
          <w:i w:val="false"/>
          <w:color w:val="000000"/>
          <w:sz w:val="22"/>
        </w:rPr>
        <w:t> </w:t>
      </w:r>
      <w:r>
        <w:rPr>
          <w:rFonts w:ascii="Times New Roman" w:hAnsi="Times New Roman"/>
          <w:b w:val="false"/>
          <w:i/>
          <w:color w:val="000000"/>
          <w:sz w:val="22"/>
        </w:rPr>
        <w:t xml:space="preserve">District court. </w:t>
      </w:r>
      <w:r>
        <w:rPr>
          <w:rFonts w:ascii="Times New Roman" w:hAnsi="Times New Roman"/>
          <w:b w:val="false"/>
          <w:i w:val="false"/>
          <w:color w:val="000000"/>
          <w:sz w:val="22"/>
        </w:rPr>
        <w:t xml:space="preserve">A registrant or applicant may file an application with the district court within 30 days of service of a department notice pursuant to Iowa Code sections </w:t>
      </w:r>
      <w:hyperlink r:id="rId4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filing of the application shall stay the department action until the department receives a court order lifting the stay, dismissing the action, or otherwise directing the department to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effective date of the revocation, or denial of the issuance or renewal of a registration, the department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110.16(6)</w:t>
      </w:r>
      <w:r>
        <w:rPr>
          <w:rFonts w:ascii="Times New Roman" w:hAnsi="Times New Roman"/>
          <w:b w:val="false"/>
          <w:i w:val="false"/>
          <w:color w:val="000000"/>
          <w:sz w:val="22"/>
        </w:rPr>
        <w:t> </w:t>
      </w:r>
      <w:r>
        <w:rPr>
          <w:rFonts w:ascii="Times New Roman" w:hAnsi="Times New Roman"/>
          <w:b w:val="false"/>
          <w:i/>
          <w:color w:val="000000"/>
          <w:sz w:val="22"/>
        </w:rPr>
        <w:t xml:space="preserve">Procedure for notification. </w:t>
      </w:r>
      <w:r>
        <w:rPr>
          <w:rFonts w:ascii="Times New Roman" w:hAnsi="Times New Roman"/>
          <w:b w:val="false"/>
          <w:i w:val="false"/>
          <w:color w:val="000000"/>
          <w:sz w:val="22"/>
        </w:rPr>
        <w:t>The department shall notify the applicant or registrant in writing through regular first-class mail, or such other means as the department deems appropriate in the circumstances, within ten days of the effective date of the revocation of a registration or the denial of the issuance or renewal of a registration, and shall similarly notify the applicant or registrant when the registration is issued, renewed, or reinstated following the department’s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110.16(7)</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Notwithstanding Iowa Code section </w:t>
      </w:r>
      <w:hyperlink r:id="rId48">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the registrant does not have the right to a hearing regarding this issue but may request a court hearing pursuant to Iowa Code section </w:t>
      </w:r>
      <w:hyperlink r:id="rId49">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441—110.17</w:t>
      </w:r>
      <w:r>
        <w:rPr>
          <w:rFonts w:ascii="Times New Roman" w:hAnsi="Times New Roman"/>
          <w:b/>
          <w:i w:val="false"/>
          <w:color w:val="000000"/>
          <w:sz w:val="22"/>
        </w:rPr>
        <w:t xml:space="preserve">(237A) </w:t>
      </w:r>
      <w:r>
        <w:rPr>
          <w:rFonts w:ascii="Times New Roman" w:hAnsi="Times New Roman"/>
          <w:b/>
          <w:i w:val="false"/>
          <w:color w:val="000000"/>
          <w:sz w:val="22"/>
        </w:rPr>
        <w:t xml:space="preserve">Prohibition from involvement with child care. </w:t>
      </w:r>
      <w:r>
        <w:rPr>
          <w:rFonts w:ascii="Times New Roman" w:hAnsi="Times New Roman"/>
          <w:b w:val="false"/>
          <w:i w:val="false"/>
          <w:color w:val="000000"/>
          <w:sz w:val="22"/>
        </w:rPr>
        <w:t>If the department has prohibited a person or program from involvement with child care, that person or program shall not provide child care as a nonregistered child care home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2647C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chapter </w:t>
      </w:r>
      <w:hyperlink r:id="rId51">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7/14/76, Notice 1/12/76—published 8/9/76, effective 9/13/76]</w:t>
      </w:r>
    </w:p>
    <w:p>
      <w:pPr>
        <w:spacing w:before="0" w:after="0"/>
        <w:ind w:left="120"/>
        <w:jc w:val="center"/>
      </w:pPr>
      <w:r>
        <w:rPr>
          <w:rFonts w:ascii="Times New Roman" w:hAnsi="Times New Roman"/>
          <w:b w:val="false"/>
          <w:i w:val="false"/>
          <w:color w:val="000000"/>
          <w:sz w:val="21"/>
        </w:rPr>
        <w:t>[Filed 8/20/82, Notice 6/23/82—published 9/15/82, effective 11/1/82]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9/28/84, Notice 8/1/84—published 10/24/84, effective 12/1/84]</w:t>
      </w:r>
    </w:p>
    <w:p>
      <w:pPr>
        <w:spacing w:before="0" w:after="0"/>
        <w:ind w:left="120"/>
        <w:jc w:val="center"/>
      </w:pPr>
      <w:r>
        <w:rPr>
          <w:rFonts w:ascii="Times New Roman" w:hAnsi="Times New Roman"/>
          <w:b w:val="false"/>
          <w:i w:val="false"/>
          <w:color w:val="000000"/>
          <w:sz w:val="21"/>
        </w:rPr>
        <w:t>[Filed 10/18/85, Notice 9/11/85—published 11/6/85, effective 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3/26/87, Notice 1/28/87—published 4/22/87, effective 6/1/87]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1/22/88, Notice 11/18/87—published 2/10/88, effective 4/1/88]</w:t>
      </w:r>
    </w:p>
    <w:p>
      <w:pPr>
        <w:spacing w:before="0" w:after="0"/>
        <w:ind w:left="120"/>
        <w:jc w:val="center"/>
      </w:pPr>
      <w:r>
        <w:rPr>
          <w:rFonts w:ascii="Times New Roman" w:hAnsi="Times New Roman"/>
          <w:b w:val="false"/>
          <w:i w:val="false"/>
          <w:color w:val="000000"/>
          <w:sz w:val="21"/>
        </w:rPr>
        <w:t>[Filed 9/21/88, Notice 8/10/88—published 10/19/88, effective 12/1/88]</w:t>
      </w:r>
    </w:p>
    <w:p>
      <w:pPr>
        <w:spacing w:before="0" w:after="0"/>
        <w:ind w:left="120"/>
        <w:jc w:val="center"/>
      </w:pPr>
      <w:r>
        <w:rPr>
          <w:rFonts w:ascii="Times New Roman" w:hAnsi="Times New Roman"/>
          <w:b w:val="false"/>
          <w:i w:val="false"/>
          <w:color w:val="000000"/>
          <w:sz w:val="21"/>
        </w:rPr>
        <w:t>[Filed 12/8/88, Notice 9/7/88—published 12/28/88, effective 2/1/89]</w:t>
      </w:r>
    </w:p>
    <w:p>
      <w:pPr>
        <w:spacing w:before="0" w:after="0"/>
        <w:ind w:left="120"/>
        <w:jc w:val="center"/>
      </w:pPr>
      <w:r>
        <w:rPr>
          <w:rFonts w:ascii="Times New Roman" w:hAnsi="Times New Roman"/>
          <w:b w:val="false"/>
          <w:i w:val="false"/>
          <w:color w:val="000000"/>
          <w:sz w:val="21"/>
        </w:rPr>
        <w:t>[Filed emergency 5/11/90—published 5/30/90, effective 7/1/90]</w:t>
      </w:r>
    </w:p>
    <w:p>
      <w:pPr>
        <w:spacing w:before="0" w:after="0"/>
        <w:ind w:left="120"/>
        <w:jc w:val="center"/>
      </w:pPr>
      <w:r>
        <w:rPr>
          <w:rFonts w:ascii="Times New Roman" w:hAnsi="Times New Roman"/>
          <w:b w:val="false"/>
          <w:i w:val="false"/>
          <w:color w:val="000000"/>
          <w:sz w:val="21"/>
        </w:rPr>
        <w:t>[Filed emergency 10/10/91—published 10/30/91, effective 11/1/91]</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10/14/93, Notice 9/1/93—published 11/10/93, effective 1/1/94]</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12/12/95, Notice 10/25/95—published 1/3/96, effective 3/1/96]</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6/10/98—published 7/1/98, effective 6/10/98]</w:t>
      </w:r>
    </w:p>
    <w:p>
      <w:pPr>
        <w:spacing w:before="0" w:after="0"/>
        <w:ind w:left="120"/>
        <w:jc w:val="center"/>
      </w:pPr>
      <w:r>
        <w:rPr>
          <w:rFonts w:ascii="Times New Roman" w:hAnsi="Times New Roman"/>
          <w:b w:val="false"/>
          <w:i w:val="false"/>
          <w:color w:val="000000"/>
          <w:sz w:val="21"/>
        </w:rPr>
        <w:t>[Filed 7/15/98, Notice 6/3/98—published 8/12/98, effective 10/1/98]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5/9/01, Notice 3/21/01—published 5/30/01, effective 8/1/01]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emergency 10/10/02 after Notice 6/26/02—published 10/30/02, effective 12/1/02]</w:t>
      </w:r>
    </w:p>
    <w:p>
      <w:pPr>
        <w:spacing w:before="0" w:after="0"/>
        <w:ind w:left="120"/>
        <w:jc w:val="center"/>
      </w:pPr>
      <w:r>
        <w:rPr>
          <w:rFonts w:ascii="Times New Roman" w:hAnsi="Times New Roman"/>
          <w:b w:val="false"/>
          <w:i w:val="false"/>
          <w:color w:val="000000"/>
          <w:sz w:val="21"/>
        </w:rPr>
        <w:t>[Filed emergency 6/12/03—published 7/9/03, effective 7/1/03]</w:t>
      </w:r>
    </w:p>
    <w:p>
      <w:pPr>
        <w:spacing w:before="0" w:after="0"/>
        <w:ind w:left="120"/>
        <w:jc w:val="center"/>
      </w:pPr>
      <w:r>
        <w:rPr>
          <w:rFonts w:ascii="Times New Roman" w:hAnsi="Times New Roman"/>
          <w:b w:val="false"/>
          <w:i w:val="false"/>
          <w:color w:val="000000"/>
          <w:sz w:val="21"/>
        </w:rPr>
        <w:t>[Filed 9/22/03, Notice 7/9/03—published 10/15/03, effective 12/1/03]</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8098B</w:t>
      </w:r>
      <w:r>
        <w:rPr>
          <w:rFonts w:ascii="Times New Roman" w:hAnsi="Times New Roman"/>
          <w:b w:val="false"/>
          <w:i w:val="false"/>
          <w:color w:val="000000"/>
          <w:sz w:val="21"/>
        </w:rPr>
        <w:t xml:space="preserve"> (Notice ARC 7815B, IAB 6/3/09)</w:t>
      </w:r>
      <w:r>
        <w:rPr>
          <w:rFonts w:ascii="Times New Roman" w:hAnsi="Times New Roman"/>
          <w:b w:val="false"/>
          <w:i w:val="false"/>
          <w:color w:val="000000"/>
          <w:sz w:val="21"/>
        </w:rPr>
        <w:t>, IAB 9/9/09, effective 11/1/09]</w:t>
      </w:r>
    </w:p>
    <w:p>
      <w:pPr>
        <w:spacing w:before="0" w:after="0"/>
        <w:ind w:left="120"/>
        <w:jc w:val="center"/>
      </w:pPr>
      <w:r>
        <w:rPr>
          <w:rFonts w:ascii="Times New Roman" w:hAnsi="Times New Roman"/>
          <w:b w:val="false"/>
          <w:i w:val="false"/>
          <w:color w:val="000000"/>
          <w:sz w:val="21"/>
        </w:rPr>
        <w:t>[Filed ARC 0418C</w:t>
      </w:r>
      <w:r>
        <w:rPr>
          <w:rFonts w:ascii="Times New Roman" w:hAnsi="Times New Roman"/>
          <w:b w:val="false"/>
          <w:i w:val="false"/>
          <w:color w:val="000000"/>
          <w:sz w:val="21"/>
        </w:rPr>
        <w:t xml:space="preserve"> (Notice ARC 0258C, IAB 8/8/12)</w:t>
      </w:r>
      <w:r>
        <w:rPr>
          <w:rFonts w:ascii="Times New Roman" w:hAnsi="Times New Roman"/>
          <w:b w:val="false"/>
          <w:i w:val="false"/>
          <w:color w:val="000000"/>
          <w:sz w:val="21"/>
        </w:rPr>
        <w:t>, IAB 10/31/12, effective 1/1/13]</w:t>
      </w:r>
    </w:p>
    <w:p>
      <w:pPr>
        <w:spacing w:before="0" w:after="0"/>
        <w:ind w:left="120"/>
        <w:jc w:val="center"/>
      </w:pPr>
      <w:r>
        <w:rPr>
          <w:rFonts w:ascii="Times New Roman" w:hAnsi="Times New Roman"/>
          <w:b w:val="false"/>
          <w:i w:val="false"/>
          <w:color w:val="000000"/>
          <w:sz w:val="21"/>
        </w:rPr>
        <w:t>[Filed ARC 0666C</w:t>
      </w:r>
      <w:r>
        <w:rPr>
          <w:rFonts w:ascii="Times New Roman" w:hAnsi="Times New Roman"/>
          <w:b w:val="false"/>
          <w:i w:val="false"/>
          <w:color w:val="000000"/>
          <w:sz w:val="21"/>
        </w:rPr>
        <w:t xml:space="preserve"> (Notice ARC 0554C,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0715C</w:t>
      </w:r>
      <w:r>
        <w:rPr>
          <w:rFonts w:ascii="Times New Roman" w:hAnsi="Times New Roman"/>
          <w:b w:val="false"/>
          <w:i w:val="false"/>
          <w:color w:val="000000"/>
          <w:sz w:val="21"/>
        </w:rPr>
        <w:t xml:space="preserve"> (Notice ARC 0566C, IAB 1/23/13)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0996C</w:t>
      </w:r>
      <w:r>
        <w:rPr>
          <w:rFonts w:ascii="Times New Roman" w:hAnsi="Times New Roman"/>
          <w:b w:val="false"/>
          <w:i w:val="false"/>
          <w:color w:val="000000"/>
          <w:sz w:val="21"/>
        </w:rPr>
        <w:t xml:space="preserve"> (Notice ARC 0787C,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ARC 1209C</w:t>
      </w:r>
      <w:r>
        <w:rPr>
          <w:rFonts w:ascii="Times New Roman" w:hAnsi="Times New Roman"/>
          <w:b w:val="false"/>
          <w:i w:val="false"/>
          <w:color w:val="000000"/>
          <w:sz w:val="21"/>
        </w:rPr>
        <w:t xml:space="preserve"> (Notice ARC 1007C, IAB 9/4/13)</w:t>
      </w:r>
      <w:r>
        <w:rPr>
          <w:rFonts w:ascii="Times New Roman" w:hAnsi="Times New Roman"/>
          <w:b w:val="false"/>
          <w:i w:val="false"/>
          <w:color w:val="000000"/>
          <w:sz w:val="21"/>
        </w:rPr>
        <w:t>, IAB 12/11/13, effective 2/1/14]</w:t>
      </w:r>
    </w:p>
    <w:p>
      <w:pPr>
        <w:spacing w:before="0" w:after="0"/>
        <w:ind w:left="120"/>
        <w:jc w:val="center"/>
      </w:pPr>
      <w:r>
        <w:rPr>
          <w:rFonts w:ascii="Times New Roman" w:hAnsi="Times New Roman"/>
          <w:b w:val="false"/>
          <w:i w:val="false"/>
          <w:color w:val="000000"/>
          <w:sz w:val="21"/>
        </w:rPr>
        <w:t>[Filed ARC 1636C</w:t>
      </w:r>
      <w:r>
        <w:rPr>
          <w:rFonts w:ascii="Times New Roman" w:hAnsi="Times New Roman"/>
          <w:b w:val="false"/>
          <w:i w:val="false"/>
          <w:color w:val="000000"/>
          <w:sz w:val="21"/>
        </w:rPr>
        <w:t xml:space="preserve"> (Notice ARC 1556C, IAB 7/23/14)</w:t>
      </w:r>
      <w:r>
        <w:rPr>
          <w:rFonts w:ascii="Times New Roman" w:hAnsi="Times New Roman"/>
          <w:b w:val="false"/>
          <w:i w:val="false"/>
          <w:color w:val="000000"/>
          <w:sz w:val="21"/>
        </w:rPr>
        <w:t>, IAB 10/1/14, effective 1/1/15]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1637C</w:t>
      </w:r>
      <w:r>
        <w:rPr>
          <w:rFonts w:ascii="Times New Roman" w:hAnsi="Times New Roman"/>
          <w:b w:val="false"/>
          <w:i w:val="false"/>
          <w:color w:val="000000"/>
          <w:sz w:val="21"/>
        </w:rPr>
        <w:t xml:space="preserve"> (Notice ARC 1555C, IAB 7/23/14)</w:t>
      </w:r>
      <w:r>
        <w:rPr>
          <w:rFonts w:ascii="Times New Roman" w:hAnsi="Times New Roman"/>
          <w:b w:val="false"/>
          <w:i w:val="false"/>
          <w:color w:val="000000"/>
          <w:sz w:val="21"/>
        </w:rPr>
        <w:t>, IAB 10/1/14, effective 1/1/15]</w:t>
      </w:r>
    </w:p>
    <w:p>
      <w:pPr>
        <w:spacing w:before="0" w:after="0"/>
        <w:ind w:left="120"/>
        <w:jc w:val="center"/>
      </w:pPr>
      <w:r>
        <w:rPr>
          <w:rFonts w:ascii="Times New Roman" w:hAnsi="Times New Roman"/>
          <w:b w:val="false"/>
          <w:i w:val="false"/>
          <w:color w:val="000000"/>
          <w:sz w:val="21"/>
        </w:rPr>
        <w:t>[Filed ARC 1809C</w:t>
      </w:r>
      <w:r>
        <w:rPr>
          <w:rFonts w:ascii="Times New Roman" w:hAnsi="Times New Roman"/>
          <w:b w:val="false"/>
          <w:i w:val="false"/>
          <w:color w:val="000000"/>
          <w:sz w:val="21"/>
        </w:rPr>
        <w:t xml:space="preserve"> (Notice ARC 1705C,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1851C</w:t>
      </w:r>
      <w:r>
        <w:rPr>
          <w:rFonts w:ascii="Times New Roman" w:hAnsi="Times New Roman"/>
          <w:b w:val="false"/>
          <w:i w:val="false"/>
          <w:color w:val="000000"/>
          <w:sz w:val="21"/>
        </w:rPr>
        <w:t xml:space="preserve"> (Notice ARC 1739C, IAB 11/26/14)</w:t>
      </w:r>
      <w:r>
        <w:rPr>
          <w:rFonts w:ascii="Times New Roman" w:hAnsi="Times New Roman"/>
          <w:b w:val="false"/>
          <w:i w:val="false"/>
          <w:color w:val="000000"/>
          <w:sz w:val="21"/>
        </w:rPr>
        <w:t>, IAB 2/4/15, effective 4/1/15]</w:t>
      </w:r>
      <w:r>
        <w:br/>
      </w:r>
      <w:r>
        <w:rPr>
          <w:rFonts w:ascii="Times New Roman" w:hAnsi="Times New Roman"/>
          <w:b w:val="false"/>
          <w:i w:val="false"/>
          <w:color w:val="000000"/>
          <w:sz w:val="21"/>
        </w:rPr>
        <w:t>[Filed Emergency After Notice ARC 1852C</w:t>
      </w:r>
      <w:r>
        <w:rPr>
          <w:rFonts w:ascii="Times New Roman" w:hAnsi="Times New Roman"/>
          <w:b w:val="false"/>
          <w:i w:val="false"/>
          <w:color w:val="000000"/>
          <w:sz w:val="21"/>
        </w:rPr>
        <w:t xml:space="preserve"> (Notice ARC 1738C, IAB 11/26/14)</w:t>
      </w:r>
      <w:r>
        <w:rPr>
          <w:rFonts w:ascii="Times New Roman" w:hAnsi="Times New Roman"/>
          <w:b w:val="false"/>
          <w:i w:val="false"/>
          <w:color w:val="000000"/>
          <w:sz w:val="21"/>
        </w:rPr>
        <w:t>, IAB 2/4/15, effective 1/15/15]</w:t>
      </w:r>
    </w:p>
    <w:p>
      <w:pPr>
        <w:spacing w:before="0" w:after="0"/>
        <w:ind w:left="120"/>
        <w:jc w:val="center"/>
      </w:pPr>
      <w:r>
        <w:rPr>
          <w:rFonts w:ascii="Times New Roman" w:hAnsi="Times New Roman"/>
          <w:b w:val="false"/>
          <w:i w:val="false"/>
          <w:color w:val="000000"/>
          <w:sz w:val="21"/>
        </w:rPr>
        <w:t>[Filed ARC 1893C</w:t>
      </w:r>
      <w:r>
        <w:rPr>
          <w:rFonts w:ascii="Times New Roman" w:hAnsi="Times New Roman"/>
          <w:b w:val="false"/>
          <w:i w:val="false"/>
          <w:color w:val="000000"/>
          <w:sz w:val="21"/>
        </w:rPr>
        <w:t xml:space="preserve"> (Notice ARC 1819C, IAB 1/7/15)</w:t>
      </w:r>
      <w:r>
        <w:rPr>
          <w:rFonts w:ascii="Times New Roman" w:hAnsi="Times New Roman"/>
          <w:b w:val="false"/>
          <w:i w:val="false"/>
          <w:color w:val="000000"/>
          <w:sz w:val="21"/>
        </w:rPr>
        <w:t>, IAB 3/4/15, effective 7/1/15]</w:t>
      </w:r>
    </w:p>
    <w:p>
      <w:pPr>
        <w:spacing w:before="0" w:after="0"/>
        <w:ind w:left="120"/>
        <w:jc w:val="center"/>
      </w:pPr>
      <w:r>
        <w:rPr>
          <w:rFonts w:ascii="Times New Roman" w:hAnsi="Times New Roman"/>
          <w:b w:val="false"/>
          <w:i w:val="false"/>
          <w:color w:val="000000"/>
          <w:sz w:val="21"/>
        </w:rPr>
        <w:t>[Filed ARC 1933C</w:t>
      </w:r>
      <w:r>
        <w:rPr>
          <w:rFonts w:ascii="Times New Roman" w:hAnsi="Times New Roman"/>
          <w:b w:val="false"/>
          <w:i w:val="false"/>
          <w:color w:val="000000"/>
          <w:sz w:val="21"/>
        </w:rPr>
        <w:t xml:space="preserve"> (Notice ARC 1863C, IAB 2/4/15)</w:t>
      </w:r>
      <w:r>
        <w:rPr>
          <w:rFonts w:ascii="Times New Roman" w:hAnsi="Times New Roman"/>
          <w:b w:val="false"/>
          <w:i w:val="false"/>
          <w:color w:val="000000"/>
          <w:sz w:val="21"/>
        </w:rPr>
        <w:t>, IAB 4/1/15, effective 6/1/15]</w:t>
      </w:r>
      <w:r>
        <w:br/>
      </w:r>
      <w:r>
        <w:rPr>
          <w:rFonts w:ascii="Times New Roman" w:hAnsi="Times New Roman"/>
          <w:b w:val="false"/>
          <w:i w:val="false"/>
          <w:color w:val="000000"/>
          <w:sz w:val="21"/>
        </w:rPr>
        <w:t>[Filed ARC 1935C</w:t>
      </w:r>
      <w:r>
        <w:rPr>
          <w:rFonts w:ascii="Times New Roman" w:hAnsi="Times New Roman"/>
          <w:b w:val="false"/>
          <w:i w:val="false"/>
          <w:color w:val="000000"/>
          <w:sz w:val="21"/>
        </w:rPr>
        <w:t xml:space="preserve"> (Notice ARC 1862C, IAB 2/4/15)</w:t>
      </w:r>
      <w:r>
        <w:rPr>
          <w:rFonts w:ascii="Times New Roman" w:hAnsi="Times New Roman"/>
          <w:b w:val="false"/>
          <w:i w:val="false"/>
          <w:color w:val="000000"/>
          <w:sz w:val="21"/>
        </w:rPr>
        <w:t>, IAB 4/1/15, effective 6/1/15]</w:t>
      </w:r>
    </w:p>
    <w:p>
      <w:pPr>
        <w:spacing w:before="0" w:after="0"/>
        <w:ind w:left="120"/>
        <w:jc w:val="center"/>
      </w:pPr>
      <w:r>
        <w:rPr>
          <w:rFonts w:ascii="Times New Roman" w:hAnsi="Times New Roman"/>
          <w:b w:val="false"/>
          <w:i w:val="false"/>
          <w:color w:val="000000"/>
          <w:sz w:val="21"/>
        </w:rPr>
        <w:t>[Filed ARC 2647C</w:t>
      </w:r>
      <w:r>
        <w:rPr>
          <w:rFonts w:ascii="Times New Roman" w:hAnsi="Times New Roman"/>
          <w:b w:val="false"/>
          <w:i w:val="false"/>
          <w:color w:val="000000"/>
          <w:sz w:val="21"/>
        </w:rPr>
        <w:t xml:space="preserve"> (Notice ARC 2553C,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5488C</w:t>
      </w:r>
      <w:r>
        <w:rPr>
          <w:rFonts w:ascii="Times New Roman" w:hAnsi="Times New Roman"/>
          <w:b w:val="false"/>
          <w:i w:val="false"/>
          <w:color w:val="000000"/>
          <w:sz w:val="21"/>
        </w:rPr>
        <w:t xml:space="preserve"> (Notice ARC 5337C, IAB 12/16/20)</w:t>
      </w:r>
      <w:r>
        <w:rPr>
          <w:rFonts w:ascii="Times New Roman" w:hAnsi="Times New Roman"/>
          <w:b w:val="false"/>
          <w:i w:val="false"/>
          <w:color w:val="000000"/>
          <w:sz w:val="21"/>
        </w:rPr>
        <w:t>, IAB 3/10/21, effective 5/1/21]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p>
      <w:pPr>
        <w:pBdr>
          <w:bottom w:space="2"/>
        </w:pBdr>
        <w:spacing w:before="0" w:after="0"/>
        <w:ind w:left="120"/>
        <w:jc w:val="both"/>
      </w:pPr>
      <w:r>
        <w:rPr>
          <w:rFonts w:ascii="Times New Roman" w:hAnsi="Times New Roman"/>
          <w:b w:val="false"/>
          <w:i w:val="false"/>
          <w:color w:val="000000"/>
          <w:sz w:val="22"/>
        </w:rPr>
        <w:t>January 1, 2015, effective date of ARC 1636C [110.5(1)“a”] delayed 70 days by the Administrative Rules Review Committee at its meeting held October 14, 2014.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A.3.pdf" Type="http://schemas.openxmlformats.org/officeDocument/2006/relationships/hyperlink" Id="rId5"/>
    <Relationship TargetMode="External" Target="https://www.legis.iowa.gov/docs/ico/chapter/692A.pdf" Type="http://schemas.openxmlformats.org/officeDocument/2006/relationships/hyperlink" Id="rId6"/>
    <Relationship TargetMode="External" Target="https://www.legis.iowa.gov/docs/iac/rule/441.110.6.pdf" Type="http://schemas.openxmlformats.org/officeDocument/2006/relationships/hyperlink" Id="rId7"/>
    <Relationship TargetMode="External" Target="https://www.legis.iowa.gov/docs/iac/rule/441.110.6.pdf" Type="http://schemas.openxmlformats.org/officeDocument/2006/relationships/hyperlink" Id="rId8"/>
    <Relationship TargetMode="External" Target="https://www.legis.iowa.gov/docs/iac/rule/441.110.13.pdf" Type="http://schemas.openxmlformats.org/officeDocument/2006/relationships/hyperlink" Id="rId9"/>
    <Relationship TargetMode="External" Target="https://www.legis.iowa.gov/docs/iac/rule/441.110.14.pdf" Type="http://schemas.openxmlformats.org/officeDocument/2006/relationships/hyperlink" Id="rId10"/>
    <Relationship TargetMode="External" Target="https://www.legis.iowa.gov/docs/iac/rule/441.110.15.pdf" Type="http://schemas.openxmlformats.org/officeDocument/2006/relationships/hyperlink" Id="rId11"/>
    <Relationship TargetMode="External" Target="http://smokefreeair.iowa.gov" Type="http://schemas.openxmlformats.org/officeDocument/2006/relationships/hyperlink" Id="rId12"/>
    <Relationship TargetMode="External" Target="https://www.legis.iowa.gov/docs/iac/chapter/641.69.pdf" Type="http://schemas.openxmlformats.org/officeDocument/2006/relationships/hyperlink" Id="rId13"/>
    <Relationship TargetMode="External" Target="https://www.legis.iowa.gov/docs/iac/chapter/641.70.pdf" Type="http://schemas.openxmlformats.org/officeDocument/2006/relationships/hyperlink" Id="rId14"/>
    <Relationship TargetMode="External" Target="https://www.legis.iowa.gov/docs/ico/chapter/321.446.pdf" Type="http://schemas.openxmlformats.org/officeDocument/2006/relationships/hyperlink" Id="rId15"/>
    <Relationship TargetMode="External" Target="https://www.legis.iowa.gov/docs/ico/chapter/702.18.pdf" Type="http://schemas.openxmlformats.org/officeDocument/2006/relationships/hyperlink" Id="rId16"/>
    <Relationship TargetMode="External" Target="https://www.legis.iowa.gov/docs/iac/rule/441.110.9.pdf" Type="http://schemas.openxmlformats.org/officeDocument/2006/relationships/hyperlink" Id="rId17"/>
    <Relationship TargetMode="External" Target="https://www.legis.iowa.gov/docs/iac/rule/441.110.10.pdf" Type="http://schemas.openxmlformats.org/officeDocument/2006/relationships/hyperlink" Id="rId18"/>
    <Relationship TargetMode="External" Target="https://www.legis.iowa.gov/docs/iac/rule/441.110.11.pdf" Type="http://schemas.openxmlformats.org/officeDocument/2006/relationships/hyperlink" Id="rId19"/>
    <Relationship TargetMode="External" Target="https://www.legis.iowa.gov/docs/iac/rule/441.110.9.pdf" Type="http://schemas.openxmlformats.org/officeDocument/2006/relationships/hyperlink" Id="rId20"/>
    <Relationship TargetMode="External" Target="https://www.legis.iowa.gov/docs/ico/chapter/232.69.pdf" Type="http://schemas.openxmlformats.org/officeDocument/2006/relationships/hyperlink" Id="rId21"/>
    <Relationship TargetMode="External" Target="https://www.legis.iowa.gov/docs/iac/rule/441.110.11.pdf" Type="http://schemas.openxmlformats.org/officeDocument/2006/relationships/hyperlink" Id="rId22"/>
    <Relationship TargetMode="External" Target="https://www.legis.iowa.gov/docs/iac/rule/441.110.9.pdf" Type="http://schemas.openxmlformats.org/officeDocument/2006/relationships/hyperlink" Id="rId23"/>
    <Relationship TargetMode="External" Target="https://www.legis.iowa.gov/docs/ico/chapter/232.69.pdf" Type="http://schemas.openxmlformats.org/officeDocument/2006/relationships/hyperlink" Id="rId24"/>
    <Relationship TargetMode="External" Target="https://www.legis.iowa.gov/docs/iac/rule/441.110.10.pdf" Type="http://schemas.openxmlformats.org/officeDocument/2006/relationships/hyperlink" Id="rId25"/>
    <Relationship TargetMode="External" Target="https://www.legis.iowa.gov/docs/iac/rule/441.110.10.pdf" Type="http://schemas.openxmlformats.org/officeDocument/2006/relationships/hyperlink" Id="rId26"/>
    <Relationship TargetMode="External" Target="https://www.legis.iowa.gov/docs/ico/chapter/232.69.pdf" Type="http://schemas.openxmlformats.org/officeDocument/2006/relationships/hyperlink" Id="rId27"/>
    <Relationship TargetMode="External" Target="https://www.legis.iowa.gov/docs/ico/chapter/726.23.pdf" Type="http://schemas.openxmlformats.org/officeDocument/2006/relationships/hyperlink" Id="rId28"/>
    <Relationship TargetMode="External" Target="https://www.legis.iowa.gov/docs/iac/rule/441.110.11.pdf" Type="http://schemas.openxmlformats.org/officeDocument/2006/relationships/hyperlink" Id="rId29"/>
    <Relationship TargetMode="External" Target="https://www.legis.iowa.gov/docs/iac/rule/441.110.11.pdf" Type="http://schemas.openxmlformats.org/officeDocument/2006/relationships/hyperlink" Id="rId30"/>
    <Relationship TargetMode="External" Target="https://www.legis.iowa.gov/docs/iac/rule/441.110.11.pdf" Type="http://schemas.openxmlformats.org/officeDocument/2006/relationships/hyperlink" Id="rId31"/>
    <Relationship TargetMode="External" Target="https://www.legis.iowa.gov/docs/ico/chapter/237A.pdf" Type="http://schemas.openxmlformats.org/officeDocument/2006/relationships/hyperlink" Id="rId32"/>
    <Relationship TargetMode="External" Target="https://www.legis.iowa.gov/docs/iac/rule/441.110.8.pdf" Type="http://schemas.openxmlformats.org/officeDocument/2006/relationships/hyperlink" Id="rId33"/>
    <Relationship TargetMode="External" Target="https://www.legis.iowa.gov/docs/iac/rule/441.110.8.pdf" Type="http://schemas.openxmlformats.org/officeDocument/2006/relationships/hyperlink" Id="rId34"/>
    <Relationship TargetMode="External" Target="https://www.legis.iowa.gov/docs/iac/rule/441.5.7.pdf" Type="http://schemas.openxmlformats.org/officeDocument/2006/relationships/hyperlink" Id="rId35"/>
    <Relationship TargetMode="External" Target="https://www.legis.iowa.gov/docs/iac/rule/441.110.8.pdf" Type="http://schemas.openxmlformats.org/officeDocument/2006/relationships/hyperlink" Id="rId36"/>
    <Relationship TargetMode="External" Target="https://www.legis.iowa.gov/docs/iac/rule/441.110.14.pdf" Type="http://schemas.openxmlformats.org/officeDocument/2006/relationships/hyperlink" Id="rId37"/>
    <Relationship TargetMode="External" Target="https://www.legis.iowa.gov/docs/iac/rule/441.5.7.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252J.pdf" Type="http://schemas.openxmlformats.org/officeDocument/2006/relationships/hyperlink" Id="rId40"/>
    <Relationship TargetMode="External" Target="https://www.legis.iowa.gov/docs/ico/chapter/252J.8.pdf" Type="http://schemas.openxmlformats.org/officeDocument/2006/relationships/hyperlink" Id="rId41"/>
    <Relationship TargetMode="External" Target="https://www.legis.iowa.gov/docs/ico/chapter/252J.8.pdf" Type="http://schemas.openxmlformats.org/officeDocument/2006/relationships/hyperlink" Id="rId42"/>
    <Relationship TargetMode="External" Target="https://www.legis.iowa.gov/docs/ico/chapter/252.8.pdf" Type="http://schemas.openxmlformats.org/officeDocument/2006/relationships/hyperlink" Id="rId43"/>
    <Relationship TargetMode="External" Target="https://www.legis.iowa.gov/docs/ico/chapter/252J.pdf" Type="http://schemas.openxmlformats.org/officeDocument/2006/relationships/hyperlink" Id="rId44"/>
    <Relationship TargetMode="External" Target="https://www.legis.iowa.gov/docs/ico/chapter/252J.9.pdf" Type="http://schemas.openxmlformats.org/officeDocument/2006/relationships/hyperlink" Id="rId45"/>
    <Relationship TargetMode="External" Target="https://www.legis.iowa.gov/docs/ico/chapter/252J.8.pdf" Type="http://schemas.openxmlformats.org/officeDocument/2006/relationships/hyperlink" Id="rId46"/>
    <Relationship TargetMode="External" Target="https://www.legis.iowa.gov/docs/ico/chapter/252J.9.pdf" Type="http://schemas.openxmlformats.org/officeDocument/2006/relationships/hyperlink" Id="rId47"/>
    <Relationship TargetMode="External" Target="https://www.legis.iowa.gov/docs/ico/chapter/17A.18.pdf" Type="http://schemas.openxmlformats.org/officeDocument/2006/relationships/hyperlink" Id="rId48"/>
    <Relationship TargetMode="External" Target="https://www.legis.iowa.gov/docs/ico/chapter/252J.9.pdf" Type="http://schemas.openxmlformats.org/officeDocument/2006/relationships/hyperlink" Id="rId49"/>
    <Relationship TargetMode="External" Target="https://www.legis.iowa.gov/docs/ico/chapter/234.6.pdf" Type="http://schemas.openxmlformats.org/officeDocument/2006/relationships/hyperlink" Id="rId50"/>
    <Relationship TargetMode="External" Target="https://www.legis.iowa.gov/docs/ico/chapter/237A.pdf" Type="http://schemas.openxmlformats.org/officeDocument/2006/relationships/hyperlink"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