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DISASTER RECOVERY HOUSING ASSISTANCE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7/5/28</w:t>
      </w:r>
    </w:p>
    <w:p>
      <w:pPr>
        <w:spacing w:before="0" w:after="0"/>
        <w:ind w:left="120"/>
        <w:jc w:val="both"/>
      </w:pPr>
      <w:r>
        <w:rPr>
          <w:rFonts w:ascii="Times New Roman" w:hAnsi="Times New Roman"/>
          <w:b/>
          <w:i w:val="false"/>
          <w:color w:val="000000"/>
          <w:sz w:val="22"/>
        </w:rPr>
        <w:t>265—29.1</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finance authority created in Iowa Code section </w:t>
      </w:r>
      <w:hyperlink r:id="rId5">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of governments”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“COG” </w:t>
      </w:r>
      <w:r>
        <w:rPr>
          <w:rFonts w:ascii="Times New Roman" w:hAnsi="Times New Roman"/>
          <w:b w:val="false"/>
          <w:i w:val="false"/>
          <w:color w:val="000000"/>
          <w:sz w:val="22"/>
        </w:rPr>
        <w:t xml:space="preserve">means an Iowa council of governments as defined by Iowa Code chapter </w:t>
      </w:r>
      <w:hyperlink r:id="rId6">
        <w:r>
          <w:rPr>
            <w:rStyle w:val="Hyperlink"/>
            <w:rFonts w:ascii="Times New Roman" w:hAnsi="Times New Roman"/>
            <w:b w:val="false"/>
            <w:i w:val="false"/>
            <w:color w:val="000000"/>
            <w:sz w:val="22"/>
          </w:rPr>
          <w:t>28H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“Disaster-affected home” </w:t>
      </w:r>
      <w:r>
        <w:rPr>
          <w:rFonts w:ascii="Times New Roman" w:hAnsi="Times New Roman"/>
          <w:b w:val="false"/>
          <w:i w:val="false"/>
          <w:color w:val="000000"/>
          <w:sz w:val="22"/>
        </w:rPr>
        <w:t>means a primary residence that is destroyed or damaged due to a natural disaster that occurs on or after June 16, 2021, and that is located in a county that is the subject of a state of disaster emergency proclamation by the governor that authorizes disaster recovery housing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 </w:t>
      </w:r>
      <w:r>
        <w:rPr>
          <w:rFonts w:ascii="Times New Roman" w:hAnsi="Times New Roman"/>
          <w:b w:val="false"/>
          <w:i w:val="false"/>
          <w:color w:val="000000"/>
          <w:sz w:val="22"/>
        </w:rPr>
        <w:t>means the disaster recovery housing assistance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program administrator” </w:t>
      </w:r>
      <w:r>
        <w:rPr>
          <w:rFonts w:ascii="Times New Roman" w:hAnsi="Times New Roman"/>
          <w:b w:val="false"/>
          <w:i w:val="false"/>
          <w:color w:val="000000"/>
          <w:sz w:val="22"/>
        </w:rPr>
        <w:t xml:space="preserve">means the same as defined in </w:t>
      </w:r>
      <w:hyperlink r:id="rId7">
        <w:r>
          <w:rPr>
            <w:rStyle w:val="Hyperlink"/>
            <w:rFonts w:ascii="Times New Roman" w:hAnsi="Times New Roman"/>
            <w:b w:val="false"/>
            <w:i w:val="false"/>
            <w:color w:val="000000"/>
            <w:sz w:val="22"/>
          </w:rPr>
          <w:t>subrule 29.2(1)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disaster recovery housing assistance program, except for where the term “program” is used in rule </w:t>
      </w:r>
      <w:hyperlink r:id="rId8">
        <w:r>
          <w:rPr>
            <w:rStyle w:val="Hyperlink"/>
            <w:rFonts w:ascii="Times New Roman" w:hAnsi="Times New Roman"/>
            <w:b w:val="false"/>
            <w:i w:val="false"/>
            <w:color w:val="000000"/>
            <w:sz w:val="22"/>
          </w:rPr>
          <w:t>265—29.8</w:t>
        </w:r>
      </w:hyperlink>
      <w:r>
        <w:rPr>
          <w:rFonts w:ascii="Times New Roman" w:hAnsi="Times New Roman"/>
          <w:b w:val="false"/>
          <w:i w:val="false"/>
          <w:color w:val="000000"/>
          <w:sz w:val="22"/>
        </w:rPr>
        <w:t>(16).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“Replacement housing” </w:t>
      </w:r>
      <w:r>
        <w:rPr>
          <w:rFonts w:ascii="Times New Roman" w:hAnsi="Times New Roman"/>
          <w:b w:val="false"/>
          <w:i w:val="false"/>
          <w:color w:val="000000"/>
          <w:sz w:val="22"/>
        </w:rPr>
        <w:t>means housing purchased by a homeowner or leased by a renter needed to replace a disaster-affected home that is destroyed or damaged beyond reasonable repair as determined by a local program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“Retention agreement” </w:t>
      </w:r>
      <w:r>
        <w:rPr>
          <w:rFonts w:ascii="Times New Roman" w:hAnsi="Times New Roman"/>
          <w:b w:val="false"/>
          <w:i w:val="false"/>
          <w:color w:val="000000"/>
          <w:sz w:val="22"/>
        </w:rPr>
        <w:t xml:space="preserve">means an agreement as described in </w:t>
      </w:r>
      <w:hyperlink r:id="rId9">
        <w:r>
          <w:rPr>
            <w:rStyle w:val="Hyperlink"/>
            <w:rFonts w:ascii="Times New Roman" w:hAnsi="Times New Roman"/>
            <w:b w:val="false"/>
            <w:i w:val="false"/>
            <w:color w:val="000000"/>
            <w:sz w:val="22"/>
          </w:rPr>
          <w:t>subrule 29.5(6)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“Retention period” </w:t>
      </w:r>
      <w:r>
        <w:rPr>
          <w:rFonts w:ascii="Times New Roman" w:hAnsi="Times New Roman"/>
          <w:b w:val="false"/>
          <w:i w:val="false"/>
          <w:color w:val="000000"/>
          <w:sz w:val="22"/>
        </w:rPr>
        <w:t>means a period of time during which a retention agreement will remain in place. The retention period will begin on the date of a loan closing or the date repairs are completed and will end five years after the beginning of the retention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of disaster emergency” </w:t>
      </w:r>
      <w:r>
        <w:rPr>
          <w:rFonts w:ascii="Times New Roman" w:hAnsi="Times New Roman"/>
          <w:b w:val="false"/>
          <w:i w:val="false"/>
          <w:color w:val="000000"/>
          <w:sz w:val="22"/>
        </w:rPr>
        <w:t xml:space="preserve">means the same as described in Iowa Code section </w:t>
      </w:r>
      <w:hyperlink r:id="rId10">
        <w:r>
          <w:rPr>
            <w:rStyle w:val="Hyperlink"/>
            <w:rFonts w:ascii="Times New Roman" w:hAnsi="Times New Roman"/>
            <w:b w:val="false"/>
            <w:i w:val="false"/>
            <w:color w:val="000000"/>
            <w:sz w:val="22"/>
          </w:rPr>
          <w:t>29C.6(1)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7021C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265—29.2</w:t>
      </w:r>
      <w:r>
        <w:rPr>
          <w:rFonts w:ascii="Times New Roman" w:hAnsi="Times New Roman"/>
          <w:b/>
          <w:i w:val="false"/>
          <w:color w:val="000000"/>
          <w:sz w:val="22"/>
        </w:rPr>
        <w:t xml:space="preserve">(16) </w:t>
      </w:r>
      <w:r>
        <w:rPr>
          <w:rFonts w:ascii="Times New Roman" w:hAnsi="Times New Roman"/>
          <w:b/>
          <w:i w:val="false"/>
          <w:color w:val="000000"/>
          <w:sz w:val="22"/>
        </w:rPr>
        <w:t xml:space="preserve">Operation of program with local program administrators.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29.2(1)</w:t>
      </w:r>
      <w:r>
        <w:rPr>
          <w:rFonts w:ascii="Times New Roman" w:hAnsi="Times New Roman"/>
          <w:b w:val="false"/>
          <w:i w:val="false"/>
          <w:color w:val="000000"/>
          <w:sz w:val="22"/>
        </w:rPr>
        <w:t> </w:t>
      </w:r>
      <w:r>
        <w:rPr>
          <w:rFonts w:ascii="Times New Roman" w:hAnsi="Times New Roman"/>
          <w:b w:val="false"/>
          <w:i/>
          <w:color w:val="000000"/>
          <w:sz w:val="22"/>
        </w:rPr>
        <w:t xml:space="preserve">Local program administrators. </w:t>
      </w:r>
      <w:r>
        <w:rPr>
          <w:rFonts w:ascii="Times New Roman" w:hAnsi="Times New Roman"/>
          <w:b w:val="false"/>
          <w:i w:val="false"/>
          <w:color w:val="000000"/>
          <w:sz w:val="22"/>
        </w:rPr>
        <w:t>For purposes of this chapter, “local program administrator” means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cities of Ames, Cedar Falls, Cedar Rapids, Council Bluffs, Davenport, Des Moines, Dubuque, Iowa City, Waterloo, and West Des Moines.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council of governments whose territory includes at least one county that is the subject of a state of disaster emergency proclamation by the governor that authorizes disaster recovery housing assistance or the eviction prevention program under Iowa Code section </w:t>
      </w:r>
      <w:hyperlink r:id="rId11">
        <w:r>
          <w:rPr>
            <w:rStyle w:val="Hyperlink"/>
            <w:rFonts w:ascii="Times New Roman" w:hAnsi="Times New Roman"/>
            <w:b w:val="false"/>
            <w:i w:val="false"/>
            <w:color w:val="000000"/>
            <w:sz w:val="22"/>
          </w:rPr>
          <w:t>16.57C</w:t>
        </w:r>
      </w:hyperlink>
      <w:r>
        <w:rPr>
          <w:rFonts w:ascii="Times New Roman" w:hAnsi="Times New Roman"/>
          <w:b w:val="false"/>
          <w:i w:val="false"/>
          <w:color w:val="000000"/>
          <w:sz w:val="22"/>
        </w:rPr>
        <w:t xml:space="preserve"> on or after June 16,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community action agency as defined in Iowa Code section </w:t>
      </w:r>
      <w:hyperlink r:id="rId12">
        <w:r>
          <w:rPr>
            <w:rStyle w:val="Hyperlink"/>
            <w:rFonts w:ascii="Times New Roman" w:hAnsi="Times New Roman"/>
            <w:b w:val="false"/>
            <w:i w:val="false"/>
            <w:color w:val="000000"/>
            <w:sz w:val="22"/>
          </w:rPr>
          <w:t>216A.91</w:t>
        </w:r>
      </w:hyperlink>
      <w:r>
        <w:rPr>
          <w:rFonts w:ascii="Times New Roman" w:hAnsi="Times New Roman"/>
          <w:b w:val="false"/>
          <w:i w:val="false"/>
          <w:color w:val="000000"/>
          <w:sz w:val="22"/>
        </w:rPr>
        <w:t xml:space="preserve"> whose territory includes at least one county that is the subject of a state of disaster emergency proclamation by the governor that authorizes disaster recovery housing assistance or the eviction prevention program under Iowa Code section </w:t>
      </w:r>
      <w:hyperlink r:id="rId13">
        <w:r>
          <w:rPr>
            <w:rStyle w:val="Hyperlink"/>
            <w:rFonts w:ascii="Times New Roman" w:hAnsi="Times New Roman"/>
            <w:b w:val="false"/>
            <w:i w:val="false"/>
            <w:color w:val="000000"/>
            <w:sz w:val="22"/>
          </w:rPr>
          <w:t>16.57C</w:t>
        </w:r>
      </w:hyperlink>
      <w:r>
        <w:rPr>
          <w:rFonts w:ascii="Times New Roman" w:hAnsi="Times New Roman"/>
          <w:b w:val="false"/>
          <w:i w:val="false"/>
          <w:color w:val="000000"/>
          <w:sz w:val="22"/>
        </w:rPr>
        <w:t xml:space="preserve"> on or after June 16,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qualified local organization, organized as a nonprofit in the state of Iowa, or a governmental entity that provides housing stability services. Housing stability services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Housing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services related to eviction proceedings and maintaining housing stability;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Housing navigation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29.2(2)</w:t>
      </w:r>
      <w:r>
        <w:rPr>
          <w:rFonts w:ascii="Times New Roman" w:hAnsi="Times New Roman"/>
          <w:b w:val="false"/>
          <w:i w:val="false"/>
          <w:color w:val="000000"/>
          <w:sz w:val="22"/>
        </w:rPr>
        <w:t> </w:t>
      </w:r>
      <w:r>
        <w:rPr>
          <w:rFonts w:ascii="Times New Roman" w:hAnsi="Times New Roman"/>
          <w:b w:val="false"/>
          <w:i/>
          <w:color w:val="000000"/>
          <w:sz w:val="22"/>
        </w:rPr>
        <w:t xml:space="preserve">Agreements with local government administrators. </w:t>
      </w:r>
      <w:r>
        <w:rPr>
          <w:rFonts w:ascii="Times New Roman" w:hAnsi="Times New Roman"/>
          <w:b w:val="false"/>
          <w:i w:val="false"/>
          <w:color w:val="000000"/>
          <w:sz w:val="22"/>
        </w:rPr>
        <w:t>The authority will enter into agreements with local program administrators working in disaster-affected counties for the purpose of reviewing applications for disaster recovery housing assistance and determining whether applicants are eligible for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29.2(3)</w:t>
      </w:r>
      <w:r>
        <w:rPr>
          <w:rFonts w:ascii="Times New Roman" w:hAnsi="Times New Roman"/>
          <w:b w:val="false"/>
          <w:i w:val="false"/>
          <w:color w:val="000000"/>
          <w:sz w:val="22"/>
        </w:rPr>
        <w:t> </w:t>
      </w:r>
      <w:r>
        <w:rPr>
          <w:rFonts w:ascii="Times New Roman" w:hAnsi="Times New Roman"/>
          <w:b w:val="false"/>
          <w:i/>
          <w:color w:val="000000"/>
          <w:sz w:val="22"/>
        </w:rPr>
        <w:t xml:space="preserve">Review of requests for assistance. </w:t>
      </w:r>
      <w:r>
        <w:rPr>
          <w:rFonts w:ascii="Times New Roman" w:hAnsi="Times New Roman"/>
          <w:b w:val="false"/>
          <w:i w:val="false"/>
          <w:color w:val="000000"/>
          <w:sz w:val="22"/>
        </w:rPr>
        <w:t xml:space="preserve">To be considered for a forgivable loan or grant under the program, a homeowner or renter must register for the disaster case management program established pursuant to Iowa Code section </w:t>
      </w:r>
      <w:hyperlink r:id="rId14">
        <w:r>
          <w:rPr>
            <w:rStyle w:val="Hyperlink"/>
            <w:rFonts w:ascii="Times New Roman" w:hAnsi="Times New Roman"/>
            <w:b w:val="false"/>
            <w:i w:val="false"/>
            <w:color w:val="000000"/>
            <w:sz w:val="22"/>
          </w:rPr>
          <w:t>29C.20B</w:t>
        </w:r>
      </w:hyperlink>
      <w:r>
        <w:rPr>
          <w:rFonts w:ascii="Times New Roman" w:hAnsi="Times New Roman"/>
          <w:b w:val="false"/>
          <w:i w:val="false"/>
          <w:color w:val="000000"/>
          <w:sz w:val="22"/>
        </w:rPr>
        <w:t>. The disaster case manager may refer the homeowner or renter to the appropriate local program administrator. If referred by disaster case managers, homeowners and renters will submit applications to local program administrators in the manner prescribed by the authority. Local program administrators shall accept and review each application. The authority may award a forgivable loan or grant after a local program administrator has determined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applicant is eligible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requested funds are being requested for a use permitted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financial assistance to be awarded to the homeowner or renter.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fees. </w:t>
      </w:r>
      <w:r>
        <w:rPr>
          <w:rFonts w:ascii="Times New Roman" w:hAnsi="Times New Roman"/>
          <w:b w:val="false"/>
          <w:i w:val="false"/>
          <w:color w:val="000000"/>
          <w:sz w:val="22"/>
        </w:rPr>
        <w:t>The authority shall not use more than 5 percent of the moneys in the fund on July 1 of a fiscal year for purposes of administrative costs and other program support during the fiscal year. The authority may share a portion of the funds reserved for its administrative costs with local program administrators to reimburse their administrative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29.2(5)</w:t>
      </w:r>
      <w:r>
        <w:rPr>
          <w:rFonts w:ascii="Times New Roman" w:hAnsi="Times New Roman"/>
          <w:b w:val="false"/>
          <w:i w:val="false"/>
          <w:color w:val="000000"/>
          <w:sz w:val="22"/>
        </w:rPr>
        <w:t> </w:t>
      </w:r>
      <w:r>
        <w:rPr>
          <w:rFonts w:ascii="Times New Roman" w:hAnsi="Times New Roman"/>
          <w:b w:val="false"/>
          <w:i/>
          <w:color w:val="000000"/>
          <w:sz w:val="22"/>
        </w:rPr>
        <w:t xml:space="preserve">Proceeds of repayments. </w:t>
      </w:r>
      <w:r>
        <w:rPr>
          <w:rFonts w:ascii="Times New Roman" w:hAnsi="Times New Roman"/>
          <w:b w:val="false"/>
          <w:i w:val="false"/>
          <w:color w:val="000000"/>
          <w:sz w:val="22"/>
        </w:rPr>
        <w:t xml:space="preserve">All loan amounts repaid to the authority by an eligible homeowner pursuant to this chapter shall be returned to the disaster recovery housing assistance fund created in Iowa Code section </w:t>
      </w:r>
      <w:hyperlink r:id="rId15">
        <w:r>
          <w:rPr>
            <w:rStyle w:val="Hyperlink"/>
            <w:rFonts w:ascii="Times New Roman" w:hAnsi="Times New Roman"/>
            <w:b w:val="false"/>
            <w:i w:val="false"/>
            <w:color w:val="000000"/>
            <w:sz w:val="22"/>
          </w:rPr>
          <w:t>16.57B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7021C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265—29.3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color w:val="000000"/>
          <w:sz w:val="22"/>
        </w:rPr>
        <w:t xml:space="preserve">Eligible homeowners. </w:t>
      </w:r>
      <w:r>
        <w:rPr>
          <w:rFonts w:ascii="Times New Roman" w:hAnsi="Times New Roman"/>
          <w:b w:val="false"/>
          <w:i w:val="false"/>
          <w:color w:val="000000"/>
          <w:sz w:val="22"/>
        </w:rPr>
        <w:t>To be eligible for a forgivable loan under the program, all of the following requirements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homeowner’s disaster-affected home must have sustained damage greater than the damage that is covered by the homeowner’s property and casualty insurance policy insuring the home plus any other state or federal disaster-related financial assistance that the homeowner is eligible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local official must either deem the disaster-affected home suitable for rehabilitation or damaged beyond reasonable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disaster-affected home is not eligible for buyout by the county or city where the disaster-affected home is located, or the disaster-affected home is eligible for a buyout by the county or city where the disaster-affected home is located but the homeowner is requesting a forgivable loan for the repair or rehabilitation of the homeowner’s disaster-affected home in lieu of a buyout.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Assistance under the program must not duplicate benefits provided by any local, state, or federal disaster recovery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homeowner must be referred to the authority or to a local program administrator to be considered for a financial assistance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color w:val="000000"/>
          <w:sz w:val="22"/>
        </w:rPr>
        <w:t xml:space="preserve">Eligible renters. </w:t>
      </w:r>
      <w:r>
        <w:rPr>
          <w:rFonts w:ascii="Times New Roman" w:hAnsi="Times New Roman"/>
          <w:b w:val="false"/>
          <w:i w:val="false"/>
          <w:color w:val="000000"/>
          <w:sz w:val="22"/>
        </w:rPr>
        <w:t>To be eligible for a grant under the program, all of the following requirements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local program administrator either deems the disaster-affected home of the renter suitable for rehabilitation but unsuitable for current short-term habitation, or the disaster-affected home is damaged beyond reasonable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under the program must not duplicate benefits provided by any local, state, or federal disaster recovery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renter must be referred to the authority or to a local program administrator to be considered for a financial assistance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renter must be a party to a written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landlord must not reside at the same address as the eligible renter.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required. </w:t>
      </w:r>
      <w:r>
        <w:rPr>
          <w:rFonts w:ascii="Times New Roman" w:hAnsi="Times New Roman"/>
          <w:b w:val="false"/>
          <w:i w:val="false"/>
          <w:color w:val="000000"/>
          <w:sz w:val="22"/>
        </w:rPr>
        <w:t xml:space="preserve">To be considered for a forgivable loan or grant under the program, a homeowner or renter must register for the disaster case management program established pursuant to Iowa Code section </w:t>
      </w:r>
      <w:hyperlink r:id="rId16">
        <w:r>
          <w:rPr>
            <w:rStyle w:val="Hyperlink"/>
            <w:rFonts w:ascii="Times New Roman" w:hAnsi="Times New Roman"/>
            <w:b w:val="false"/>
            <w:i w:val="false"/>
            <w:color w:val="000000"/>
            <w:sz w:val="22"/>
          </w:rPr>
          <w:t>29C.20B</w:t>
        </w:r>
      </w:hyperlink>
      <w:r>
        <w:rPr>
          <w:rFonts w:ascii="Times New Roman" w:hAnsi="Times New Roman"/>
          <w:b w:val="false"/>
          <w:i w:val="false"/>
          <w:color w:val="000000"/>
          <w:sz w:val="22"/>
        </w:rPr>
        <w:t>. The disaster case manager may refer the homeowner or renter to the appropriate local program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7021C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265—29.4</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uses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w:t>
      </w:r>
      <w:r>
        <w:rPr>
          <w:rFonts w:ascii="Times New Roman" w:hAnsi="Times New Roman"/>
          <w:b w:val="false"/>
          <w:i w:val="false"/>
          <w:color w:val="000000"/>
          <w:sz w:val="22"/>
        </w:rPr>
        <w:t> </w:t>
      </w:r>
      <w:r>
        <w:rPr>
          <w:rFonts w:ascii="Times New Roman" w:hAnsi="Times New Roman"/>
          <w:b w:val="false"/>
          <w:i/>
          <w:color w:val="000000"/>
          <w:sz w:val="22"/>
        </w:rPr>
        <w:t xml:space="preserve">Forgivable loans. </w:t>
      </w:r>
      <w:r>
        <w:rPr>
          <w:rFonts w:ascii="Times New Roman" w:hAnsi="Times New Roman"/>
          <w:b w:val="false"/>
          <w:i w:val="false"/>
          <w:color w:val="000000"/>
          <w:sz w:val="22"/>
        </w:rPr>
        <w:t>The authority may award a forgivable loan to an eligible homeowner for any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Repair or rehabilitation of the disaster-affected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Down payment assistance on the purchase of replacement housing, and the cost of reasonable repairs to be performed on the replacement housing to render the replacement housing decent, safe, sanitary, and in good repair. For purposes of this paragraph, “decent, safe, sanitary, and in good repair” means the same as described in 24 CFR §5.703. The amount of down payment assistance that may be awarded to an eligible homeowner must not exceed 25 percent of the purchase price of the home being purchased plus any amount allowed for repairs, or $50,000,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Replacement housing shall not be located in a 100-year floodplain.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purposes of calculating the amount of down payment assistance available to the eligible homeowner, the amount of the down payment assistance will be reduced by the amount of any disaster compensation received by the eligible homeowner in excess of any amount necessary to pay off a mortgage or real estate purchase contract on the disaster-affected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 a condition of receiving down payment assistance, the eligible homeowner must agree that any disaster compensation received subsequent to the closing of the forgivable loan, if not applied toward repayment of a mortgage on the disaster-affected home, shall be used by the eligible homeowner to pay down the balance of the forgivable loan outstanding at the time the eligible homeowner receives such disaster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eligible homeowner shall not use the assistance allowed under this paragraph for the purchase of more than one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Replacement housing must be used as the eligible homeowner’s primary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29.4(2)</w:t>
      </w:r>
      <w:r>
        <w:rPr>
          <w:rFonts w:ascii="Times New Roman" w:hAnsi="Times New Roman"/>
          <w:b w:val="false"/>
          <w:i w:val="false"/>
          <w:color w:val="000000"/>
          <w:sz w:val="22"/>
        </w:rPr>
        <w:t> </w:t>
      </w:r>
      <w:r>
        <w:rPr>
          <w:rFonts w:ascii="Times New Roman" w:hAnsi="Times New Roman"/>
          <w:b w:val="false"/>
          <w:i/>
          <w:color w:val="000000"/>
          <w:sz w:val="22"/>
        </w:rPr>
        <w:t xml:space="preserve">Grants. </w:t>
      </w:r>
      <w:r>
        <w:rPr>
          <w:rFonts w:ascii="Times New Roman" w:hAnsi="Times New Roman"/>
          <w:b w:val="false"/>
          <w:i w:val="false"/>
          <w:color w:val="000000"/>
          <w:sz w:val="22"/>
        </w:rPr>
        <w:t xml:space="preserve">The authority may award a grant to an eligible renter to provide short-term financial assistance for the payment of rent for replacement housing, pursuant to the limitations set forth in </w:t>
      </w:r>
      <w:hyperlink r:id="rId17">
        <w:r>
          <w:rPr>
            <w:rStyle w:val="Hyperlink"/>
            <w:rFonts w:ascii="Times New Roman" w:hAnsi="Times New Roman"/>
            <w:b w:val="false"/>
            <w:i w:val="false"/>
            <w:color w:val="000000"/>
            <w:sz w:val="22"/>
          </w:rPr>
          <w:t>subrule 29.6(1)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7021C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265—29.5</w:t>
      </w:r>
      <w:r>
        <w:rPr>
          <w:rFonts w:ascii="Times New Roman" w:hAnsi="Times New Roman"/>
          <w:b/>
          <w:i w:val="false"/>
          <w:color w:val="000000"/>
          <w:sz w:val="22"/>
        </w:rPr>
        <w:t xml:space="preserve">(16) </w:t>
      </w:r>
      <w:r>
        <w:rPr>
          <w:rFonts w:ascii="Times New Roman" w:hAnsi="Times New Roman"/>
          <w:b/>
          <w:i w:val="false"/>
          <w:color w:val="000000"/>
          <w:sz w:val="22"/>
        </w:rPr>
        <w:t xml:space="preserve">Loan terms. </w:t>
      </w:r>
      <w:r>
        <w:rPr>
          <w:rFonts w:ascii="Times New Roman" w:hAnsi="Times New Roman"/>
          <w:b w:val="false"/>
          <w:i w:val="false"/>
          <w:color w:val="000000"/>
          <w:sz w:val="22"/>
        </w:rPr>
        <w:t>Loans made under the program shall, at a minimum, contain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29.5(1)</w:t>
      </w:r>
      <w:r>
        <w:rPr>
          <w:rFonts w:ascii="Times New Roman" w:hAnsi="Times New Roman"/>
          <w:b w:val="false"/>
          <w:i w:val="false"/>
          <w:color w:val="000000"/>
          <w:sz w:val="22"/>
        </w:rPr>
        <w:t> </w:t>
      </w:r>
      <w:r>
        <w:rPr>
          <w:rFonts w:ascii="Times New Roman" w:hAnsi="Times New Roman"/>
          <w:b w:val="false"/>
          <w:i/>
          <w:color w:val="000000"/>
          <w:sz w:val="22"/>
        </w:rPr>
        <w:t xml:space="preserve">Five-year term. </w:t>
      </w:r>
      <w:r>
        <w:rPr>
          <w:rFonts w:ascii="Times New Roman" w:hAnsi="Times New Roman"/>
          <w:b w:val="false"/>
          <w:i w:val="false"/>
          <w:color w:val="000000"/>
          <w:sz w:val="22"/>
        </w:rPr>
        <w:t>The duration of the loan will be for a term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29.5(2)</w:t>
      </w:r>
      <w:r>
        <w:rPr>
          <w:rFonts w:ascii="Times New Roman" w:hAnsi="Times New Roman"/>
          <w:b w:val="false"/>
          <w:i w:val="false"/>
          <w:color w:val="000000"/>
          <w:sz w:val="22"/>
        </w:rPr>
        <w:t> </w:t>
      </w:r>
      <w:r>
        <w:rPr>
          <w:rFonts w:ascii="Times New Roman" w:hAnsi="Times New Roman"/>
          <w:b w:val="false"/>
          <w:i/>
          <w:color w:val="000000"/>
          <w:sz w:val="22"/>
        </w:rPr>
        <w:t xml:space="preserve">Amount. </w:t>
      </w:r>
      <w:r>
        <w:rPr>
          <w:rFonts w:ascii="Times New Roman" w:hAnsi="Times New Roman"/>
          <w:b w:val="false"/>
          <w:i w:val="false"/>
          <w:color w:val="000000"/>
          <w:sz w:val="22"/>
        </w:rPr>
        <w:t>The maximum amount of a loan made under this program shall be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29.5(3)</w:t>
      </w:r>
      <w:r>
        <w:rPr>
          <w:rFonts w:ascii="Times New Roman" w:hAnsi="Times New Roman"/>
          <w:b w:val="false"/>
          <w:i w:val="false"/>
          <w:color w:val="000000"/>
          <w:sz w:val="22"/>
        </w:rPr>
        <w:t> </w:t>
      </w:r>
      <w:r>
        <w:rPr>
          <w:rFonts w:ascii="Times New Roman" w:hAnsi="Times New Roman"/>
          <w:b w:val="false"/>
          <w:i/>
          <w:color w:val="000000"/>
          <w:sz w:val="22"/>
        </w:rPr>
        <w:t xml:space="preserve">Interest. </w:t>
      </w:r>
      <w:r>
        <w:rPr>
          <w:rFonts w:ascii="Times New Roman" w:hAnsi="Times New Roman"/>
          <w:b w:val="false"/>
          <w:i w:val="false"/>
          <w:color w:val="000000"/>
          <w:sz w:val="22"/>
        </w:rPr>
        <w:t>Loans made pursuant to the program shall bear no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29.5(4)</w:t>
      </w:r>
      <w:r>
        <w:rPr>
          <w:rFonts w:ascii="Times New Roman" w:hAnsi="Times New Roman"/>
          <w:b w:val="false"/>
          <w:i w:val="false"/>
          <w:color w:val="000000"/>
          <w:sz w:val="22"/>
        </w:rPr>
        <w:t> </w:t>
      </w:r>
      <w:r>
        <w:rPr>
          <w:rFonts w:ascii="Times New Roman" w:hAnsi="Times New Roman"/>
          <w:b w:val="false"/>
          <w:i/>
          <w:color w:val="000000"/>
          <w:sz w:val="22"/>
        </w:rPr>
        <w:t xml:space="preserve">Forgivability. </w:t>
      </w:r>
      <w:r>
        <w:rPr>
          <w:rFonts w:ascii="Times New Roman" w:hAnsi="Times New Roman"/>
          <w:b w:val="false"/>
          <w:i w:val="false"/>
          <w:color w:val="000000"/>
          <w:sz w:val="22"/>
        </w:rPr>
        <w:t>Loans made pursuant to the program will be forgiven and the principal amount of the loan reduced by one-sixtieth of the initial loan amount for each full month of the retention period in which the homeowner is not in default pursuant to the loan agreement, beginning on the date of the final disbursement of forgivable loan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29.5(5)</w:t>
      </w:r>
      <w:r>
        <w:rPr>
          <w:rFonts w:ascii="Times New Roman" w:hAnsi="Times New Roman"/>
          <w:b w:val="false"/>
          <w:i w:val="false"/>
          <w:color w:val="000000"/>
          <w:sz w:val="22"/>
        </w:rPr>
        <w:t> </w:t>
      </w:r>
      <w:r>
        <w:rPr>
          <w:rFonts w:ascii="Times New Roman" w:hAnsi="Times New Roman"/>
          <w:b w:val="false"/>
          <w:i/>
          <w:color w:val="000000"/>
          <w:sz w:val="22"/>
        </w:rPr>
        <w:t xml:space="preserve">Repayment due upon sale of home. </w:t>
      </w:r>
      <w:r>
        <w:rPr>
          <w:rFonts w:ascii="Times New Roman" w:hAnsi="Times New Roman"/>
          <w:b w:val="false"/>
          <w:i w:val="false"/>
          <w:color w:val="000000"/>
          <w:sz w:val="22"/>
        </w:rPr>
        <w:t>If a homeowner who has been awarded a forgivable loan sells a disaster-affected home or replacement housing for which the homeowner received the forgivable loan prior to the end of the loan term, the remaining principal on the forgivable loan shall be due and payable upon the sale of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29.5(6)</w:t>
      </w:r>
      <w:r>
        <w:rPr>
          <w:rFonts w:ascii="Times New Roman" w:hAnsi="Times New Roman"/>
          <w:b w:val="false"/>
          <w:i w:val="false"/>
          <w:color w:val="000000"/>
          <w:sz w:val="22"/>
        </w:rPr>
        <w:t> </w:t>
      </w:r>
      <w:r>
        <w:rPr>
          <w:rFonts w:ascii="Times New Roman" w:hAnsi="Times New Roman"/>
          <w:b w:val="false"/>
          <w:i/>
          <w:color w:val="000000"/>
          <w:sz w:val="22"/>
        </w:rPr>
        <w:t xml:space="preserve">Retention agreement. </w:t>
      </w:r>
      <w:r>
        <w:rPr>
          <w:rFonts w:ascii="Times New Roman" w:hAnsi="Times New Roman"/>
          <w:b w:val="false"/>
          <w:i w:val="false"/>
          <w:color w:val="000000"/>
          <w:sz w:val="22"/>
        </w:rPr>
        <w:t xml:space="preserve">Each loan made pursuant to this program shall be secured by a retention agreement that shall constitute a lien on the title of the real property for which the forgivable loan is made until such time as the forgivable loan has either been fully forgiven or paid in full. However, if an eligible homeowner receives a buyout of the disaster-affected home from the hazard mitigation grant program established in Iowa Code chapter </w:t>
      </w:r>
      <w:hyperlink r:id="rId18">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or any other funding source, the receipt of the buyout will not trigger a repayment of assistance received under </w:t>
      </w:r>
      <w:hyperlink r:id="rId19">
        <w:r>
          <w:rPr>
            <w:rStyle w:val="Hyperlink"/>
            <w:rFonts w:ascii="Times New Roman" w:hAnsi="Times New Roman"/>
            <w:b w:val="false"/>
            <w:i w:val="false"/>
            <w:color w:val="000000"/>
            <w:sz w:val="22"/>
          </w:rPr>
          <w:t>subrule 29.4(1)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29.5(7)</w:t>
      </w:r>
      <w:r>
        <w:rPr>
          <w:rFonts w:ascii="Times New Roman" w:hAnsi="Times New Roman"/>
          <w:b w:val="false"/>
          <w:i w:val="false"/>
          <w:color w:val="000000"/>
          <w:sz w:val="22"/>
        </w:rPr>
        <w:t> </w:t>
      </w:r>
      <w:r>
        <w:rPr>
          <w:rFonts w:ascii="Times New Roman" w:hAnsi="Times New Roman"/>
          <w:b w:val="false"/>
          <w:i/>
          <w:color w:val="000000"/>
          <w:sz w:val="22"/>
        </w:rPr>
        <w:t xml:space="preserve">General conditions of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eligible homeowner receives other disaster compensation after a forgivable loan is awarded, the authority may require repayment of some or all of the forgivable loan based on the amount of disaster compensation received and review for any duplication of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home to be purchased, repaired or rehabilitated using assistance under the program must be in compliance with all applicable state and local laws, rules and ordinances. To be eligible for assistance, the home must be in compliance as of the time of closing in the case of purchases, and as of the date of the final disbursement of forgivable loan proceeds in the case of repair or rehabilitation.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7021C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265—29.6</w:t>
      </w:r>
      <w:r>
        <w:rPr>
          <w:rFonts w:ascii="Times New Roman" w:hAnsi="Times New Roman"/>
          <w:b/>
          <w:i w:val="false"/>
          <w:color w:val="000000"/>
          <w:sz w:val="22"/>
        </w:rPr>
        <w:t xml:space="preserve">(16) </w:t>
      </w:r>
      <w:r>
        <w:rPr>
          <w:rFonts w:ascii="Times New Roman" w:hAnsi="Times New Roman"/>
          <w:b/>
          <w:i w:val="false"/>
          <w:color w:val="000000"/>
          <w:sz w:val="22"/>
        </w:rPr>
        <w:t xml:space="preserve">Grant terms. </w:t>
      </w:r>
      <w:r>
        <w:rPr>
          <w:rFonts w:ascii="Times New Roman" w:hAnsi="Times New Roman"/>
          <w:b w:val="false"/>
          <w:i w:val="false"/>
          <w:color w:val="000000"/>
          <w:sz w:val="22"/>
        </w:rPr>
        <w:t>Grants made under the program shall be subject to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29.6(1)</w:t>
      </w:r>
      <w:r>
        <w:rPr>
          <w:rFonts w:ascii="Times New Roman" w:hAnsi="Times New Roman"/>
          <w:b w:val="false"/>
          <w:i w:val="false"/>
          <w:color w:val="000000"/>
          <w:sz w:val="22"/>
        </w:rPr>
        <w:t> </w:t>
      </w:r>
      <w:r>
        <w:rPr>
          <w:rFonts w:ascii="Times New Roman" w:hAnsi="Times New Roman"/>
          <w:b w:val="false"/>
          <w:i/>
          <w:color w:val="000000"/>
          <w:sz w:val="22"/>
        </w:rPr>
        <w:t xml:space="preserve">Award calculation and maximum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eligible renter may be awarded up to six months of rent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eligible renter may be awarded retroactive rent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renter may be awarded rent assistance to pay late fees provided that the late fees are permissible under Iowa Code chapter </w:t>
      </w:r>
      <w:hyperlink r:id="rId20">
        <w:r>
          <w:rPr>
            <w:rStyle w:val="Hyperlink"/>
            <w:rFonts w:ascii="Times New Roman" w:hAnsi="Times New Roman"/>
            <w:b w:val="false"/>
            <w:i w:val="false"/>
            <w:color w:val="000000"/>
            <w:sz w:val="22"/>
          </w:rPr>
          <w:t>562A</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562B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Rent assistance will be calculated by first multiplying the monthly rent amount stated on the eligible renter’s lease by the number of months for which assistance is needed, and then adding any eligible retroactive rent assistance and late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monthly rent assistance used in calculating the award must not exceed the amount stated on the eligible renter’s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maximum allowable rent assistance that may be awarded must not exceed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sum of the amount stated on the eligible renter’s lease multiplied by six months, plus late fees;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29.6(2)</w:t>
      </w:r>
      <w:r>
        <w:rPr>
          <w:rFonts w:ascii="Times New Roman" w:hAnsi="Times New Roman"/>
          <w:b w:val="false"/>
          <w:i w:val="false"/>
          <w:color w:val="000000"/>
          <w:sz w:val="22"/>
        </w:rPr>
        <w:t> </w:t>
      </w:r>
      <w:r>
        <w:rPr>
          <w:rFonts w:ascii="Times New Roman" w:hAnsi="Times New Roman"/>
          <w:b w:val="false"/>
          <w:i/>
          <w:color w:val="000000"/>
          <w:sz w:val="22"/>
        </w:rPr>
        <w:t xml:space="preserve">Priority of awards. </w:t>
      </w:r>
      <w:r>
        <w:rPr>
          <w:rFonts w:ascii="Times New Roman" w:hAnsi="Times New Roman"/>
          <w:b w:val="false"/>
          <w:i w:val="false"/>
          <w:color w:val="000000"/>
          <w:sz w:val="22"/>
        </w:rPr>
        <w:t>The authority may prioritize awards of rent assistance to eligible renters earning 80 percent or less of the area median income for the county where the replacement housing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29.6(3)</w:t>
      </w:r>
      <w:r>
        <w:rPr>
          <w:rFonts w:ascii="Times New Roman" w:hAnsi="Times New Roman"/>
          <w:b w:val="false"/>
          <w:i w:val="false"/>
          <w:color w:val="000000"/>
          <w:sz w:val="22"/>
        </w:rPr>
        <w:t> </w:t>
      </w:r>
      <w:r>
        <w:rPr>
          <w:rFonts w:ascii="Times New Roman" w:hAnsi="Times New Roman"/>
          <w:b w:val="false"/>
          <w:i/>
          <w:color w:val="000000"/>
          <w:sz w:val="22"/>
        </w:rPr>
        <w:t xml:space="preserve">Disbursement. </w:t>
      </w:r>
      <w:r>
        <w:rPr>
          <w:rFonts w:ascii="Times New Roman" w:hAnsi="Times New Roman"/>
          <w:b w:val="false"/>
          <w:i w:val="false"/>
          <w:color w:val="000000"/>
          <w:sz w:val="22"/>
        </w:rPr>
        <w:t>The authority will disburse rent assistance only after a complete application has been received, an award has been approved by the authority, and all applicable conditions for disbursement have been met, including the submission of documentation pertaining to the eligible expenses. Disbursements will be paid directly to the eligible renter’s landlord, unless the authority determines that payment to the landlord is not feasible. If the authority determines it is not feasible to pay the eligible renter’s landlord directly, the authority may disburse payment directly to the eligible renter.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7021C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265—29.7</w:t>
      </w:r>
      <w:r>
        <w:rPr>
          <w:rFonts w:ascii="Times New Roman" w:hAnsi="Times New Roman"/>
          <w:b/>
          <w:i w:val="false"/>
          <w:color w:val="000000"/>
          <w:sz w:val="22"/>
        </w:rPr>
        <w:t xml:space="preserve">(16) </w:t>
      </w:r>
      <w:r>
        <w:rPr>
          <w:rFonts w:ascii="Times New Roman" w:hAnsi="Times New Roman"/>
          <w:b/>
          <w:i w:val="false"/>
          <w:color w:val="000000"/>
          <w:sz w:val="22"/>
        </w:rPr>
        <w:t xml:space="preserve">Reporting. </w:t>
      </w:r>
      <w:r>
        <w:rPr>
          <w:rFonts w:ascii="Times New Roman" w:hAnsi="Times New Roman"/>
          <w:b w:val="false"/>
          <w:i w:val="false"/>
          <w:color w:val="000000"/>
          <w:sz w:val="22"/>
        </w:rPr>
        <w:t xml:space="preserve">A local program administrator working with the authority to administer assistance provided under rule </w:t>
      </w:r>
      <w:hyperlink r:id="rId22">
        <w:r>
          <w:rPr>
            <w:rStyle w:val="Hyperlink"/>
            <w:rFonts w:ascii="Times New Roman" w:hAnsi="Times New Roman"/>
            <w:b w:val="false"/>
            <w:i w:val="false"/>
            <w:color w:val="000000"/>
            <w:sz w:val="22"/>
          </w:rPr>
          <w:t>265—29.4</w:t>
        </w:r>
      </w:hyperlink>
      <w:r>
        <w:rPr>
          <w:rFonts w:ascii="Times New Roman" w:hAnsi="Times New Roman"/>
          <w:b w:val="false"/>
          <w:i w:val="false"/>
          <w:color w:val="000000"/>
          <w:sz w:val="22"/>
        </w:rPr>
        <w:t>(16) will submit any information reasonably requested by the authority in sufficient detail to permit the authority to prepare any reports required by the authority,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7021C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265—29.8</w:t>
      </w:r>
      <w:r>
        <w:rPr>
          <w:rFonts w:ascii="Times New Roman" w:hAnsi="Times New Roman"/>
          <w:b/>
          <w:i w:val="false"/>
          <w:color w:val="000000"/>
          <w:sz w:val="22"/>
        </w:rPr>
        <w:t xml:space="preserve">(16) </w:t>
      </w:r>
      <w:r>
        <w:rPr>
          <w:rFonts w:ascii="Times New Roman" w:hAnsi="Times New Roman"/>
          <w:b/>
          <w:i w:val="false"/>
          <w:color w:val="000000"/>
          <w:sz w:val="22"/>
        </w:rPr>
        <w:t xml:space="preserve">Eviction prevention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29.8(1)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authority shall establish and administer an eviction prevention program. Under the eviction prevention program, the authority shall award grants to eligible renters and to eviction prevention partners for purposes of this rule. Grants may be awarded upon a state of disaster emergency proclamation by the governor that authorizes the eviction prevention program. Eviction prevention assistance shall be paid out of the fund established in Iowa Code section </w:t>
      </w:r>
      <w:hyperlink r:id="rId23">
        <w:r>
          <w:rPr>
            <w:rStyle w:val="Hyperlink"/>
            <w:rFonts w:ascii="Times New Roman" w:hAnsi="Times New Roman"/>
            <w:b w:val="false"/>
            <w:i w:val="false"/>
            <w:color w:val="000000"/>
            <w:sz w:val="22"/>
          </w:rPr>
          <w:t>16.57B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29.8(2)</w:t>
      </w:r>
      <w:r>
        <w:rPr>
          <w:rFonts w:ascii="Times New Roman" w:hAnsi="Times New Roman"/>
          <w:b w:val="false"/>
          <w:i w:val="false"/>
          <w:color w:val="000000"/>
          <w:sz w:val="22"/>
        </w:rPr>
        <w:t> </w:t>
      </w:r>
      <w:r>
        <w:rPr>
          <w:rFonts w:ascii="Times New Roman" w:hAnsi="Times New Roman"/>
          <w:b w:val="false"/>
          <w:i/>
          <w:color w:val="000000"/>
          <w:sz w:val="22"/>
        </w:rPr>
        <w:t xml:space="preserve">Rent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Grants awarded to eligible renters pursuant to this subrule shall be used for short-term financial rent assistance to keep eligible renters in their current residences.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subrule, “eligible renter” means a renter whose income meets the qualifications of the program, who is at risk of eviction, and who resides in a county that is the subject of a state of disaster emergency proclamation by the governor that authorizes the eviction prevention program and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meet the income qualifications of the eviction prevention program established in this rule, a renter’s household income must not exceed 80 percent of the area median income as published annually by the U.S. Department of Housing and Urban Development (HUD) for the county in which the rental unit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renter must be a party to a written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landlord must not reside at the same address as the eligible renter.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eligible renter may receive rent assistance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eligible renter may be awarded up to six months of rent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eligible renter may be awarded retroactive rent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renter may be awarded rent assistance to pay late fees provided that the late fees are permissible under Iowa Code chapter </w:t>
      </w:r>
      <w:hyperlink r:id="rId24">
        <w:r>
          <w:rPr>
            <w:rStyle w:val="Hyperlink"/>
            <w:rFonts w:ascii="Times New Roman" w:hAnsi="Times New Roman"/>
            <w:b w:val="false"/>
            <w:i w:val="false"/>
            <w:color w:val="000000"/>
            <w:sz w:val="22"/>
          </w:rPr>
          <w:t>562A</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562B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Rent assistance will be calculated by first multiplying the monthly rent amount stated on the eligible renter’s lease by the number of months for which assistance is needed, and then adding any eligible retroactive rent assistance and late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amount of monthly rent assistance used in calculating the award must not exceed the amount stated on the eligible renter’s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maximum allowable rent assistance that may be awarded must not exceed the lesser of the sum of the amount stated on the eligible renter’s lease multiplied by six months plus late fees or $5,000.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renter will apply for assistance under this rule in the form and manner required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authority will disburse rent assistance under this paragraph only after a complete application has been received, an award has been approved by the authority, and all applicable conditions for disbursement have been met, including the submission of documentation pertaining to the eligible expenses. Disbursements will be paid directly to the eligible renter’s landlord, unless the authority determines that payment to the landlord is not feasible. If the authority determines it is not feasible to pay the eligible renter’s landlord directly, the authority may disburse payment directly to the eligible renter.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29.8(3)</w:t>
      </w:r>
      <w:r>
        <w:rPr>
          <w:rFonts w:ascii="Times New Roman" w:hAnsi="Times New Roman"/>
          <w:b w:val="false"/>
          <w:i w:val="false"/>
          <w:color w:val="000000"/>
          <w:sz w:val="22"/>
        </w:rPr>
        <w:t> </w:t>
      </w:r>
      <w:r>
        <w:rPr>
          <w:rFonts w:ascii="Times New Roman" w:hAnsi="Times New Roman"/>
          <w:b w:val="false"/>
          <w:i/>
          <w:color w:val="000000"/>
          <w:sz w:val="22"/>
        </w:rPr>
        <w:t xml:space="preserve">Eviction prevention partners.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Grants awarded to eviction prevention partners pursuant to this rule shall be used to pay for rent or housing stability services provided to eligible renters for the purpose of preventing the eviction of eligible renters.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this subrule, “eviction prevention partner” means a local program administrator as defined in </w:t>
      </w:r>
      <w:hyperlink r:id="rId26">
        <w:r>
          <w:rPr>
            <w:rStyle w:val="Hyperlink"/>
            <w:rFonts w:ascii="Times New Roman" w:hAnsi="Times New Roman"/>
            <w:b w:val="false"/>
            <w:i w:val="false"/>
            <w:color w:val="000000"/>
            <w:sz w:val="22"/>
          </w:rPr>
          <w:t>subrule 29.2(1)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may enter into an agreement with one or more eviction prevention partners to administer the program. The authority will prepare an agreement for each grant awarded to an eviction prevention partner. The agreement will reflect the terms of the award and may include other terms and conditions reasonably necessary for implementation of the program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substantive change to an agreement will require an amendment to the agreement. Amendments shall be requested in writing. No amendment shall be valid unless approved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authority will disburse funds under this paragraph only after an award has been approved by the authority and all applicable conditions for disbursement have been met, including the submission of documentation pertaining to the eligible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eviction prevention partner receiving an award under this rule shall submit any information reasonably requested by the authority in sufficient detail to permit the authority to prepare any reports required by the authority,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7021C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265—29.9</w:t>
      </w:r>
      <w:r>
        <w:rPr>
          <w:rFonts w:ascii="Times New Roman" w:hAnsi="Times New Roman"/>
          <w:b/>
          <w:i w:val="false"/>
          <w:color w:val="000000"/>
          <w:sz w:val="22"/>
        </w:rPr>
        <w:t xml:space="preserve">(16) </w:t>
      </w:r>
      <w:r>
        <w:rPr>
          <w:rFonts w:ascii="Times New Roman" w:hAnsi="Times New Roman"/>
          <w:b/>
          <w:i w:val="false"/>
          <w:color w:val="000000"/>
          <w:sz w:val="22"/>
        </w:rPr>
        <w:t xml:space="preserve">Financial assistance subject to availability of funding. </w:t>
      </w:r>
      <w:r>
        <w:rPr>
          <w:rFonts w:ascii="Times New Roman" w:hAnsi="Times New Roman"/>
          <w:b w:val="false"/>
          <w:i w:val="false"/>
          <w:color w:val="000000"/>
          <w:sz w:val="22"/>
        </w:rPr>
        <w:t>All financial assistance awarded pursuant to this chapter shall be subject to funds being made available to the authority for the purpose of awarding financial assistance to eligible homeowners and eligible renters in disaster-affected counties.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7021C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7">
        <w:r>
          <w:rPr>
            <w:rStyle w:val="Hyperlink"/>
            <w:rFonts w:ascii="Times New Roman" w:hAnsi="Times New Roman"/>
            <w:b w:val="false"/>
            <w:i w:val="false"/>
            <w:color w:val="000000"/>
            <w:sz w:val="22"/>
          </w:rPr>
          <w:t>16.57A</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16.57B</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16.57C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9/19/08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7842B, IAB 6/17/09, effective 5/14/09]</w:t>
      </w:r>
    </w:p>
    <w:p>
      <w:pPr>
        <w:spacing w:before="0" w:after="0"/>
        <w:ind w:left="120"/>
        <w:jc w:val="center"/>
      </w:pPr>
      <w:r>
        <w:rPr>
          <w:rFonts w:ascii="Times New Roman" w:hAnsi="Times New Roman"/>
          <w:b w:val="false"/>
          <w:i w:val="false"/>
          <w:color w:val="000000"/>
          <w:sz w:val="21"/>
        </w:rPr>
        <w:t>[Filed Emergency ARC 7899B, IAB 7/1/09, effective 6/10/09]</w:t>
      </w:r>
    </w:p>
    <w:p>
      <w:pPr>
        <w:spacing w:before="0" w:after="0"/>
        <w:ind w:left="120"/>
        <w:jc w:val="center"/>
      </w:pPr>
      <w:r>
        <w:rPr>
          <w:rFonts w:ascii="Times New Roman" w:hAnsi="Times New Roman"/>
          <w:b w:val="false"/>
          <w:i w:val="false"/>
          <w:color w:val="000000"/>
          <w:sz w:val="21"/>
        </w:rPr>
        <w:t>[Filed ARC 8074B</w:t>
      </w:r>
      <w:r>
        <w:rPr>
          <w:rFonts w:ascii="Times New Roman" w:hAnsi="Times New Roman"/>
          <w:b w:val="false"/>
          <w:i w:val="false"/>
          <w:color w:val="000000"/>
          <w:sz w:val="21"/>
        </w:rPr>
        <w:t xml:space="preserve"> (Notice ARC 7900B, IAB 7/1/09)</w:t>
      </w:r>
      <w:r>
        <w:rPr>
          <w:rFonts w:ascii="Times New Roman" w:hAnsi="Times New Roman"/>
          <w:b w:val="false"/>
          <w:i w:val="false"/>
          <w:color w:val="000000"/>
          <w:sz w:val="21"/>
        </w:rPr>
        <w:t>, IAB 8/26/09, effective 9/30/09]</w:t>
      </w:r>
      <w:r>
        <w:br/>
      </w:r>
      <w:r>
        <w:rPr>
          <w:rFonts w:ascii="Times New Roman" w:hAnsi="Times New Roman"/>
          <w:b w:val="false"/>
          <w:i w:val="false"/>
          <w:color w:val="000000"/>
          <w:sz w:val="21"/>
        </w:rPr>
        <w:t>[Filed ARC 8075B</w:t>
      </w:r>
      <w:r>
        <w:rPr>
          <w:rFonts w:ascii="Times New Roman" w:hAnsi="Times New Roman"/>
          <w:b w:val="false"/>
          <w:i w:val="false"/>
          <w:color w:val="000000"/>
          <w:sz w:val="21"/>
        </w:rPr>
        <w:t xml:space="preserve"> (Notice ARC 7843B, IAB 6/17/09)</w:t>
      </w:r>
      <w:r>
        <w:rPr>
          <w:rFonts w:ascii="Times New Roman" w:hAnsi="Times New Roman"/>
          <w:b w:val="false"/>
          <w:i w:val="false"/>
          <w:color w:val="000000"/>
          <w:sz w:val="21"/>
        </w:rPr>
        <w:t>, IAB 8/26/09, effective 9/30/09]</w:t>
      </w:r>
    </w:p>
    <w:p>
      <w:pPr>
        <w:spacing w:before="0" w:after="0"/>
        <w:ind w:left="120"/>
        <w:jc w:val="center"/>
      </w:pPr>
      <w:r>
        <w:rPr>
          <w:rFonts w:ascii="Times New Roman" w:hAnsi="Times New Roman"/>
          <w:b w:val="false"/>
          <w:i w:val="false"/>
          <w:color w:val="000000"/>
          <w:sz w:val="21"/>
        </w:rPr>
        <w:t>[Filed Emergency ARC 8323B, IAB 12/2/09, effective 11/4/09]</w:t>
      </w:r>
    </w:p>
    <w:p>
      <w:pPr>
        <w:spacing w:before="0" w:after="0"/>
        <w:ind w:left="120"/>
        <w:jc w:val="center"/>
      </w:pPr>
      <w:r>
        <w:rPr>
          <w:rFonts w:ascii="Times New Roman" w:hAnsi="Times New Roman"/>
          <w:b w:val="false"/>
          <w:i w:val="false"/>
          <w:color w:val="000000"/>
          <w:sz w:val="21"/>
        </w:rPr>
        <w:t>[Filed ARC 8546B</w:t>
      </w:r>
      <w:r>
        <w:rPr>
          <w:rFonts w:ascii="Times New Roman" w:hAnsi="Times New Roman"/>
          <w:b w:val="false"/>
          <w:i w:val="false"/>
          <w:color w:val="000000"/>
          <w:sz w:val="21"/>
        </w:rPr>
        <w:t xml:space="preserve"> (Notice ARC 8324B, IAB 12/2/09)</w:t>
      </w:r>
      <w:r>
        <w:rPr>
          <w:rFonts w:ascii="Times New Roman" w:hAnsi="Times New Roman"/>
          <w:b w:val="false"/>
          <w:i w:val="false"/>
          <w:color w:val="000000"/>
          <w:sz w:val="21"/>
        </w:rPr>
        <w:t>, IAB 2/24/10, effective 3/31/10]</w:t>
      </w:r>
    </w:p>
    <w:p>
      <w:pPr>
        <w:spacing w:before="0" w:after="0"/>
        <w:ind w:left="120"/>
        <w:jc w:val="center"/>
      </w:pPr>
      <w:r>
        <w:rPr>
          <w:rFonts w:ascii="Times New Roman" w:hAnsi="Times New Roman"/>
          <w:b w:val="false"/>
          <w:i w:val="false"/>
          <w:color w:val="000000"/>
          <w:sz w:val="21"/>
        </w:rPr>
        <w:t>[Filed Emergency ARC 8907B, IAB 6/30/10, effective 6/10/10]</w:t>
      </w:r>
    </w:p>
    <w:p>
      <w:pPr>
        <w:spacing w:before="0" w:after="0"/>
        <w:ind w:left="120"/>
        <w:jc w:val="center"/>
      </w:pPr>
      <w:r>
        <w:rPr>
          <w:rFonts w:ascii="Times New Roman" w:hAnsi="Times New Roman"/>
          <w:b w:val="false"/>
          <w:i w:val="false"/>
          <w:color w:val="000000"/>
          <w:sz w:val="21"/>
        </w:rPr>
        <w:t>[Filed ARC 9029B</w:t>
      </w:r>
      <w:r>
        <w:rPr>
          <w:rFonts w:ascii="Times New Roman" w:hAnsi="Times New Roman"/>
          <w:b w:val="false"/>
          <w:i w:val="false"/>
          <w:color w:val="000000"/>
          <w:sz w:val="21"/>
        </w:rPr>
        <w:t xml:space="preserve"> (Notice ARC 8908B, IAB 6/30/10)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2004C</w:t>
      </w:r>
      <w:r>
        <w:rPr>
          <w:rFonts w:ascii="Times New Roman" w:hAnsi="Times New Roman"/>
          <w:b w:val="false"/>
          <w:i w:val="false"/>
          <w:color w:val="000000"/>
          <w:sz w:val="21"/>
        </w:rPr>
        <w:t xml:space="preserve"> (Notice ARC 1865C, IAB 2/4/15)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7021C</w:t>
      </w:r>
      <w:r>
        <w:rPr>
          <w:rFonts w:ascii="Times New Roman" w:hAnsi="Times New Roman"/>
          <w:b w:val="false"/>
          <w:i w:val="false"/>
          <w:color w:val="000000"/>
          <w:sz w:val="21"/>
        </w:rPr>
        <w:t xml:space="preserve"> (Notice ARC 6820C, IAB 1/11/23)</w:t>
      </w:r>
      <w:r>
        <w:rPr>
          <w:rFonts w:ascii="Times New Roman" w:hAnsi="Times New Roman"/>
          <w:b w:val="false"/>
          <w:i w:val="false"/>
          <w:color w:val="000000"/>
          <w:sz w:val="21"/>
        </w:rPr>
        <w:t>, IAB 5/31/23, effective 7/5/23]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pdf" Type="http://schemas.openxmlformats.org/officeDocument/2006/relationships/hyperlink" Id="rId5"/>
    <Relationship TargetMode="External" Target="https://www.legis.iowa.gov/docs/ico/chapter/28H.pdf" Type="http://schemas.openxmlformats.org/officeDocument/2006/relationships/hyperlink" Id="rId6"/>
    <Relationship TargetMode="External" Target="https://www.legis.iowa.gov/docs/iac/rule/265.29.2.pdf" Type="http://schemas.openxmlformats.org/officeDocument/2006/relationships/hyperlink" Id="rId7"/>
    <Relationship TargetMode="External" Target="https://www.legis.iowa.gov/docs/iac/rule/265.29.8.pdf" Type="http://schemas.openxmlformats.org/officeDocument/2006/relationships/hyperlink" Id="rId8"/>
    <Relationship TargetMode="External" Target="https://www.legis.iowa.gov/docs/iac/rule/265.29.5.pdf" Type="http://schemas.openxmlformats.org/officeDocument/2006/relationships/hyperlink" Id="rId9"/>
    <Relationship TargetMode="External" Target="https://www.legis.iowa.gov/docs/ico/chapter/29C.6.pdf" Type="http://schemas.openxmlformats.org/officeDocument/2006/relationships/hyperlink" Id="rId10"/>
    <Relationship TargetMode="External" Target="https://www.legis.iowa.gov/docs/ico/chapter/16.57C.pdf" Type="http://schemas.openxmlformats.org/officeDocument/2006/relationships/hyperlink" Id="rId11"/>
    <Relationship TargetMode="External" Target="https://www.legis.iowa.gov/docs/ico/chapter/216A.91.pdf" Type="http://schemas.openxmlformats.org/officeDocument/2006/relationships/hyperlink" Id="rId12"/>
    <Relationship TargetMode="External" Target="https://www.legis.iowa.gov/docs/ico/chapter/16.57C.pdf" Type="http://schemas.openxmlformats.org/officeDocument/2006/relationships/hyperlink" Id="rId13"/>
    <Relationship TargetMode="External" Target="https://www.legis.iowa.gov/docs/ico/chapter/29C.20B.pdf" Type="http://schemas.openxmlformats.org/officeDocument/2006/relationships/hyperlink" Id="rId14"/>
    <Relationship TargetMode="External" Target="https://www.legis.iowa.gov/docs/ico/chapter/16.57B.pdf" Type="http://schemas.openxmlformats.org/officeDocument/2006/relationships/hyperlink" Id="rId15"/>
    <Relationship TargetMode="External" Target="https://www.legis.iowa.gov/docs/ico/chapter/29C.20B.pdf" Type="http://schemas.openxmlformats.org/officeDocument/2006/relationships/hyperlink" Id="rId16"/>
    <Relationship TargetMode="External" Target="https://www.legis.iowa.gov/docs/iac/rule/265.29.6.pdf" Type="http://schemas.openxmlformats.org/officeDocument/2006/relationships/hyperlink" Id="rId17"/>
    <Relationship TargetMode="External" Target="https://www.legis.iowa.gov/docs/ico/chapter/29C.pdf" Type="http://schemas.openxmlformats.org/officeDocument/2006/relationships/hyperlink" Id="rId18"/>
    <Relationship TargetMode="External" Target="https://www.legis.iowa.gov/docs/iac/rule/265.29.4.pdf" Type="http://schemas.openxmlformats.org/officeDocument/2006/relationships/hyperlink" Id="rId19"/>
    <Relationship TargetMode="External" Target="https://www.legis.iowa.gov/docs/ico/chapter/562A.pdf" Type="http://schemas.openxmlformats.org/officeDocument/2006/relationships/hyperlink" Id="rId20"/>
    <Relationship TargetMode="External" Target="https://www.legis.iowa.gov/docs/ico/chapter/562B.pdf" Type="http://schemas.openxmlformats.org/officeDocument/2006/relationships/hyperlink" Id="rId21"/>
    <Relationship TargetMode="External" Target="https://www.legis.iowa.gov/docs/iac/rule/265.29.4.pdf" Type="http://schemas.openxmlformats.org/officeDocument/2006/relationships/hyperlink" Id="rId22"/>
    <Relationship TargetMode="External" Target="https://www.legis.iowa.gov/docs/ico/chapter/16.57B.pdf" Type="http://schemas.openxmlformats.org/officeDocument/2006/relationships/hyperlink" Id="rId23"/>
    <Relationship TargetMode="External" Target="https://www.legis.iowa.gov/docs/ico/chapter/562A.pdf" Type="http://schemas.openxmlformats.org/officeDocument/2006/relationships/hyperlink" Id="rId24"/>
    <Relationship TargetMode="External" Target="https://www.legis.iowa.gov/docs/ico/chapter/562B.pdf" Type="http://schemas.openxmlformats.org/officeDocument/2006/relationships/hyperlink" Id="rId25"/>
    <Relationship TargetMode="External" Target="https://www.legis.iowa.gov/docs/iac/rule/265.29.2.pdf" Type="http://schemas.openxmlformats.org/officeDocument/2006/relationships/hyperlink" Id="rId26"/>
    <Relationship TargetMode="External" Target="https://www.legis.iowa.gov/docs/ico/chapter/16.57A.pdf" Type="http://schemas.openxmlformats.org/officeDocument/2006/relationships/hyperlink" Id="rId27"/>
    <Relationship TargetMode="External" Target="https://www.legis.iowa.gov/docs/ico/chapter/16.57B.pdf" Type="http://schemas.openxmlformats.org/officeDocument/2006/relationships/hyperlink" Id="rId28"/>
    <Relationship TargetMode="External" Target="https://www.legis.iowa.gov/docs/ico/chapter/16.57C.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