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982</w:t>
      </w:r>
    </w:p>
    <w:p>
      <w:pPr>
        <w:spacing w:before="0" w:after="0"/>
        <w:ind w:left="120"/>
        <w:jc w:val="center"/>
      </w:pPr>
      <w:r>
        <w:rPr>
          <w:rFonts w:ascii="Times New Roman" w:hAnsi="Times New Roman"/>
          <w:b w:val="false"/>
          <w:i w:val="false"/>
          <w:color w:val="000000"/>
          <w:sz w:val="21"/>
        </w:rPr>
        <w:t>DISCIPLINE FOR NURSING HOME ADMINISTRATORS</w:t>
      </w:r>
    </w:p>
    <w:p>
      <w:pPr>
        <w:spacing w:before="0" w:after="0"/>
        <w:ind w:left="120"/>
        <w:jc w:val="center"/>
      </w:pPr>
      <w:r>
        <w:rPr>
          <w:rFonts w:ascii="Times New Roman" w:hAnsi="Times New Roman"/>
          <w:b w:val="false"/>
          <w:i w:val="false"/>
          <w:color w:val="000000"/>
          <w:sz w:val="14"/>
        </w:rPr>
        <w:t>[Prior to 5/30/01, see 645—Chapter 141]</w:t>
      </w:r>
    </w:p>
    <w:p>
      <w:pPr>
        <w:spacing w:before="0" w:after="0"/>
        <w:ind w:left="120"/>
        <w:jc w:val="center"/>
      </w:pPr>
      <w:r>
        <w:rPr>
          <w:rFonts w:ascii="Times New Roman" w:hAnsi="Times New Roman"/>
          <w:b w:val="false"/>
          <w:i w:val="false"/>
          <w:color w:val="000000"/>
          <w:sz w:val="14"/>
        </w:rPr>
        <w:t>[Prior to 9/18/24, see Professional Licensure Division[645] Ch 144]</w:t>
      </w:r>
    </w:p>
    <w:p>
      <w:pPr>
        <w:spacing w:before="0" w:after="0"/>
        <w:ind w:left="120"/>
        <w:jc w:val="both"/>
      </w:pPr>
      <w:r>
        <w:rPr>
          <w:rFonts w:ascii="Times New Roman" w:hAnsi="Times New Roman"/>
          <w:b/>
          <w:i w:val="false"/>
          <w:color w:val="000000"/>
          <w:sz w:val="22"/>
        </w:rPr>
        <w:t>481—982.1</w:t>
      </w:r>
      <w:r>
        <w:rPr>
          <w:rFonts w:ascii="Times New Roman" w:hAnsi="Times New Roman"/>
          <w:b/>
          <w:i w:val="false"/>
          <w:color w:val="000000"/>
          <w:sz w:val="22"/>
        </w:rPr>
        <w:t xml:space="preserve">(155,272C)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4">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val="false"/>
          <w:color w:val="000000"/>
          <w:sz w:val="22"/>
        </w:rPr>
        <w:t>Any falsification or misrepresentation contained in any report or document attesting to the facts, conditions and activities of the internship or work experience and submitted by the applicant, administrator/preceptor or other participants may be grounds for denial of license or for suspension or revocation of the nursing home administrator license in addition to the imposition of fines and any other penalties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val="false"/>
          <w:color w:val="000000"/>
          <w:sz w:val="22"/>
        </w:rPr>
        <w:t>Any misappropriation of resident funds or facility funds may be grounds for denial of license or for suspension or revocation of the nursing home administrator license in addition to the imposition of fines and any other penalties provided by law.</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4/1/04, Notice 2/4/04—published 4/28/04, effective 6/2/04]</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4/7/06, Notice 2/15/06—published 4/26/06, effective 5/31/06]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7973C</w:t>
      </w:r>
      <w:r>
        <w:rPr>
          <w:rFonts w:ascii="Times New Roman" w:hAnsi="Times New Roman"/>
          <w:b w:val="false"/>
          <w:i w:val="false"/>
          <w:color w:val="000000"/>
          <w:sz w:val="21"/>
        </w:rPr>
        <w:t xml:space="preserve"> (Notice ARC 7478C,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28, 2012, effective date of 144.2(13)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4.3.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5.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