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BOARD OF NURSING HOME ADMINISTRATORS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980</w:t>
      </w:r>
    </w:p>
    <w:p>
      <w:pPr>
        <w:spacing w:before="0" w:after="0"/>
        <w:ind w:left="120"/>
        <w:jc w:val="center"/>
      </w:pPr>
      <w:r>
        <w:rPr>
          <w:rFonts w:ascii="Times New Roman" w:hAnsi="Times New Roman"/>
          <w:b w:val="false"/>
          <w:i w:val="false"/>
          <w:color w:val="000000"/>
          <w:sz w:val="21"/>
        </w:rPr>
        <w:t>LICENSURE OF NURSING HOME ADMINISTRATORS</w:t>
      </w:r>
    </w:p>
    <w:p>
      <w:pPr>
        <w:spacing w:before="0" w:after="0"/>
        <w:ind w:left="120"/>
        <w:jc w:val="center"/>
      </w:pPr>
      <w:r>
        <w:rPr>
          <w:rFonts w:ascii="Times New Roman" w:hAnsi="Times New Roman"/>
          <w:b w:val="false"/>
          <w:i w:val="false"/>
          <w:color w:val="000000"/>
          <w:sz w:val="14"/>
        </w:rPr>
        <w:t>[Prior to 8/24/88, see Nursing Home Administrators Board of Examiners[600], Ch 2]</w:t>
      </w:r>
    </w:p>
    <w:p>
      <w:pPr>
        <w:spacing w:before="0" w:after="0"/>
        <w:ind w:left="120"/>
        <w:jc w:val="center"/>
      </w:pPr>
      <w:r>
        <w:rPr>
          <w:rFonts w:ascii="Times New Roman" w:hAnsi="Times New Roman"/>
          <w:b w:val="false"/>
          <w:i w:val="false"/>
          <w:color w:val="000000"/>
          <w:sz w:val="14"/>
        </w:rPr>
        <w:t>[Prior to 9/18/24, see Professional Licensure Division[645] Ch 141]</w:t>
      </w:r>
    </w:p>
    <w:p>
      <w:pPr>
        <w:spacing w:before="0" w:after="0"/>
        <w:ind w:left="120"/>
        <w:jc w:val="both"/>
      </w:pPr>
      <w:r>
        <w:rPr>
          <w:rFonts w:ascii="Times New Roman" w:hAnsi="Times New Roman"/>
          <w:b/>
          <w:i w:val="false"/>
          <w:color w:val="000000"/>
          <w:sz w:val="22"/>
        </w:rPr>
        <w:t>481—980.1</w:t>
      </w:r>
      <w:r>
        <w:rPr>
          <w:rFonts w:ascii="Times New Roman" w:hAnsi="Times New Roman"/>
          <w:b/>
          <w:i w:val="false"/>
          <w:color w:val="000000"/>
          <w:sz w:val="22"/>
        </w:rPr>
        <w:t xml:space="preserve">(155)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 xml:space="preserve">means a license that is current and has not expired.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 xml:space="preserve">means a licensed nursing home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board of nursing home administrators.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 xml:space="preserve">means the 30-day period following expiration of a license when the license is still considered to be active.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“HSE” </w:t>
      </w:r>
      <w:r>
        <w:rPr>
          <w:rFonts w:ascii="Times New Roman" w:hAnsi="Times New Roman"/>
          <w:b w:val="false"/>
          <w:i w:val="false"/>
          <w:color w:val="000000"/>
          <w:sz w:val="22"/>
        </w:rPr>
        <w:t>means a Health Services Executive as designated by the National Association of Boards of Examiners of Long Term Care Administrators.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nursing home administrator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December 31 of odd-numbered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nursing home administration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“NAB” </w:t>
      </w:r>
      <w:r>
        <w:rPr>
          <w:rFonts w:ascii="Times New Roman" w:hAnsi="Times New Roman"/>
          <w:b w:val="false"/>
          <w:i w:val="false"/>
          <w:color w:val="000000"/>
          <w:sz w:val="22"/>
        </w:rPr>
        <w:t>means National Association of Boards of Examiners of Long Term Care Administrators.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“Preceptor” </w:t>
      </w:r>
      <w:r>
        <w:rPr>
          <w:rFonts w:ascii="Times New Roman" w:hAnsi="Times New Roman"/>
          <w:b w:val="false"/>
          <w:i w:val="false"/>
          <w:color w:val="000000"/>
          <w:sz w:val="22"/>
        </w:rPr>
        <w:t>means a person who is currently licensed as a nursing home administrator and is approved by the department to supervise a person in a mentoring or administrator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“Provisional license” </w:t>
      </w:r>
      <w:r>
        <w:rPr>
          <w:rFonts w:ascii="Times New Roman" w:hAnsi="Times New Roman"/>
          <w:b w:val="false"/>
          <w:i w:val="false"/>
          <w:color w:val="000000"/>
          <w:sz w:val="22"/>
        </w:rPr>
        <w:t>means a license issued to an administrator appointed on a temporary basis to perform the duties of a nursing home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4">
        <w:r>
          <w:rPr>
            <w:rStyle w:val="Hyperlink"/>
            <w:rFonts w:ascii="Times New Roman" w:hAnsi="Times New Roman"/>
            <w:b w:val="false"/>
            <w:i w:val="false"/>
            <w:color w:val="000000"/>
            <w:sz w:val="22"/>
          </w:rPr>
          <w:t>481—980.15</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by which a licensee who has had a license suspended or revoked or who has voluntarily surrendered a license may apply to have the license reinstated, with or without conditions.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481—980.2</w:t>
      </w:r>
      <w:r>
        <w:rPr>
          <w:rFonts w:ascii="Times New Roman" w:hAnsi="Times New Roman"/>
          <w:b/>
          <w:i w:val="false"/>
          <w:color w:val="000000"/>
          <w:sz w:val="22"/>
        </w:rPr>
        <w:t xml:space="preserve">(155) </w:t>
      </w:r>
      <w:r>
        <w:rPr>
          <w:rFonts w:ascii="Times New Roman" w:hAnsi="Times New Roman"/>
          <w:b/>
          <w:i w:val="false"/>
          <w:color w:val="000000"/>
          <w:sz w:val="22"/>
        </w:rPr>
        <w:t xml:space="preserve">Requirements for licensure. </w:t>
      </w:r>
      <w:r>
        <w:rPr>
          <w:rFonts w:ascii="Times New Roman" w:hAnsi="Times New Roman"/>
          <w:b w:val="false"/>
          <w:i w:val="false"/>
          <w:color w:val="000000"/>
          <w:sz w:val="22"/>
        </w:rPr>
        <w:t>The following criteria shall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980.2(1)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online application and pay the nonrefundable licensure fee specified in rule </w:t>
      </w:r>
      <w:hyperlink r:id="rId6">
        <w:r>
          <w:rPr>
            <w:rStyle w:val="Hyperlink"/>
            <w:rFonts w:ascii="Times New Roman" w:hAnsi="Times New Roman"/>
            <w:b w:val="false"/>
            <w:i w:val="false"/>
            <w:color w:val="000000"/>
            <w:sz w:val="22"/>
          </w:rPr>
          <w:t>645—5.10</w:t>
        </w:r>
      </w:hyperlink>
      <w:r>
        <w:rPr>
          <w:rFonts w:ascii="Times New Roman" w:hAnsi="Times New Roman"/>
          <w:b w:val="false"/>
          <w:i w:val="false"/>
          <w:color w:val="000000"/>
          <w:sz w:val="22"/>
        </w:rPr>
        <w:t>(147,155);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980.2(2)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certification as an HSE through NAB;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980.2(3)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Transcripts verifying a baccalaureate or postbaccalaureate degree sent directly from an accredited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Passing score on all required national NAB examinations and meeting all other licensure requirements to be approved to take all required national NAB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Completion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Administrator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Practicum in long-term health care completed through an accredited college or university;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2,080 hours of long-term health care administration or health-care-related experience in a nursing home may be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980.2(4)</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licensed in another state will provide verification of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it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481—980.3</w:t>
      </w:r>
      <w:r>
        <w:rPr>
          <w:rFonts w:ascii="Times New Roman" w:hAnsi="Times New Roman"/>
          <w:b/>
          <w:i w:val="false"/>
          <w:color w:val="000000"/>
          <w:sz w:val="22"/>
        </w:rPr>
        <w:t xml:space="preserve">(147,155) </w:t>
      </w:r>
      <w:r>
        <w:rPr>
          <w:rFonts w:ascii="Times New Roman" w:hAnsi="Times New Roman"/>
          <w:b/>
          <w:i w:val="false"/>
          <w:color w:val="000000"/>
          <w:sz w:val="22"/>
        </w:rPr>
        <w:t xml:space="preserve">Foreign-trained applicants. </w:t>
      </w:r>
      <w:r>
        <w:rPr>
          <w:rFonts w:ascii="Times New Roman" w:hAnsi="Times New Roman"/>
          <w:b w:val="false"/>
          <w:i w:val="false"/>
          <w:color w:val="000000"/>
          <w:sz w:val="22"/>
        </w:rPr>
        <w:t>Foreign-trained nursing home administrators will: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980.3(1)</w:t>
      </w:r>
      <w:r>
        <w:rPr>
          <w:rFonts w:ascii="Times New Roman" w:hAnsi="Times New Roman"/>
          <w:b w:val="false"/>
          <w:i w:val="false"/>
          <w:color w:val="000000"/>
          <w:sz w:val="22"/>
        </w:rPr>
        <w:t> </w:t>
      </w:r>
      <w:r>
        <w:rPr>
          <w:rFonts w:ascii="Times New Roman" w:hAnsi="Times New Roman"/>
          <w:b w:val="false"/>
          <w:i w:val="false"/>
          <w:color w:val="000000"/>
          <w:sz w:val="22"/>
        </w:rPr>
        <w:t>Provide an equivalency evaluation of their educational credentials by International Educational Research Foundation, Inc., Credentials Evaluation Service. A candidate will be responsible for the expense of the curriculum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980.3(2)</w:t>
      </w:r>
      <w:r>
        <w:rPr>
          <w:rFonts w:ascii="Times New Roman" w:hAnsi="Times New Roman"/>
          <w:b w:val="false"/>
          <w:i w:val="false"/>
          <w:color w:val="000000"/>
          <w:sz w:val="22"/>
        </w:rPr>
        <w:t> </w:t>
      </w:r>
      <w:r>
        <w:rPr>
          <w:rFonts w:ascii="Times New Roman" w:hAnsi="Times New Roman"/>
          <w:b w:val="false"/>
          <w:i w:val="false"/>
          <w:color w:val="000000"/>
          <w:sz w:val="22"/>
        </w:rPr>
        <w:t>Provide a copy of the certificate or diploma awarded to the applicant from a nursing home administration program in the country in which the applicant was educated.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980.3(3)</w:t>
      </w:r>
      <w:r>
        <w:rPr>
          <w:rFonts w:ascii="Times New Roman" w:hAnsi="Times New Roman"/>
          <w:b w:val="false"/>
          <w:i w:val="false"/>
          <w:color w:val="000000"/>
          <w:sz w:val="22"/>
        </w:rPr>
        <w:t> </w:t>
      </w:r>
      <w:r>
        <w:rPr>
          <w:rFonts w:ascii="Times New Roman" w:hAnsi="Times New Roman"/>
          <w:b w:val="false"/>
          <w:i w:val="false"/>
          <w:color w:val="000000"/>
          <w:sz w:val="22"/>
        </w:rPr>
        <w:t>Provide satisfactory evidence of completion of administrator training program, practicum or 2,080 hours of work experience in long-term health care administration.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481—980.4</w:t>
      </w:r>
      <w:r>
        <w:rPr>
          <w:rFonts w:ascii="Times New Roman" w:hAnsi="Times New Roman"/>
          <w:b/>
          <w:i w:val="false"/>
          <w:color w:val="000000"/>
          <w:sz w:val="22"/>
        </w:rPr>
        <w:t xml:space="preserve">(155) </w:t>
      </w:r>
      <w:r>
        <w:rPr>
          <w:rFonts w:ascii="Times New Roman" w:hAnsi="Times New Roman"/>
          <w:b/>
          <w:i w:val="false"/>
          <w:color w:val="000000"/>
          <w:sz w:val="22"/>
        </w:rPr>
        <w:t xml:space="preserve">Preceptor qualifications. </w:t>
      </w:r>
      <w:r>
        <w:rPr>
          <w:rFonts w:ascii="Times New Roman" w:hAnsi="Times New Roman"/>
          <w:b w:val="false"/>
          <w:i w:val="false"/>
          <w:color w:val="000000"/>
          <w:sz w:val="22"/>
        </w:rPr>
        <w:t>Preceptor qualifications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980.4(1)</w:t>
      </w:r>
      <w:r>
        <w:rPr>
          <w:rFonts w:ascii="Times New Roman" w:hAnsi="Times New Roman"/>
          <w:b w:val="false"/>
          <w:i w:val="false"/>
          <w:color w:val="000000"/>
          <w:sz w:val="22"/>
        </w:rPr>
        <w:t> </w:t>
      </w:r>
      <w:r>
        <w:rPr>
          <w:rFonts w:ascii="Times New Roman" w:hAnsi="Times New Roman"/>
          <w:b w:val="false"/>
          <w:i w:val="false"/>
          <w:color w:val="000000"/>
          <w:sz w:val="22"/>
        </w:rPr>
        <w:t>Current licensure and at least two years of experience as a nursing home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980.4(2)</w:t>
      </w:r>
      <w:r>
        <w:rPr>
          <w:rFonts w:ascii="Times New Roman" w:hAnsi="Times New Roman"/>
          <w:b w:val="false"/>
          <w:i w:val="false"/>
          <w:color w:val="000000"/>
          <w:sz w:val="22"/>
        </w:rPr>
        <w:t> </w:t>
      </w:r>
      <w:r>
        <w:rPr>
          <w:rFonts w:ascii="Times New Roman" w:hAnsi="Times New Roman"/>
          <w:b w:val="false"/>
          <w:i w:val="false"/>
          <w:color w:val="000000"/>
          <w:sz w:val="22"/>
        </w:rPr>
        <w:t>Completion of a preceptor training course prior to the preceptorship.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980.4(3)</w:t>
      </w:r>
      <w:r>
        <w:rPr>
          <w:rFonts w:ascii="Times New Roman" w:hAnsi="Times New Roman"/>
          <w:b w:val="false"/>
          <w:i w:val="false"/>
          <w:color w:val="000000"/>
          <w:sz w:val="22"/>
        </w:rPr>
        <w:t> </w:t>
      </w:r>
      <w:r>
        <w:rPr>
          <w:rFonts w:ascii="Times New Roman" w:hAnsi="Times New Roman"/>
          <w:b w:val="false"/>
          <w:i w:val="false"/>
          <w:color w:val="000000"/>
          <w:sz w:val="22"/>
        </w:rPr>
        <w:t xml:space="preserve">Preceptor has not had the preceptor’s nursing home administrator license disciplined, limited, suspended, or placed on probation during the one year immediately prior to the approval to act as a preceptor.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980.4(4)</w:t>
      </w:r>
      <w:r>
        <w:rPr>
          <w:rFonts w:ascii="Times New Roman" w:hAnsi="Times New Roman"/>
          <w:b w:val="false"/>
          <w:i w:val="false"/>
          <w:color w:val="000000"/>
          <w:sz w:val="22"/>
        </w:rPr>
        <w:t> </w:t>
      </w:r>
      <w:r>
        <w:rPr>
          <w:rFonts w:ascii="Times New Roman" w:hAnsi="Times New Roman"/>
          <w:b w:val="false"/>
          <w:i w:val="false"/>
          <w:color w:val="000000"/>
          <w:sz w:val="22"/>
        </w:rPr>
        <w:t>Is not related to the training administrator.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481—980.5</w:t>
      </w:r>
      <w:r>
        <w:rPr>
          <w:rFonts w:ascii="Times New Roman" w:hAnsi="Times New Roman"/>
          <w:b/>
          <w:i w:val="false"/>
          <w:color w:val="000000"/>
          <w:sz w:val="22"/>
        </w:rPr>
        <w:t xml:space="preserve">(155) </w:t>
      </w:r>
      <w:r>
        <w:rPr>
          <w:rFonts w:ascii="Times New Roman" w:hAnsi="Times New Roman"/>
          <w:b/>
          <w:i w:val="false"/>
          <w:color w:val="000000"/>
          <w:sz w:val="22"/>
        </w:rPr>
        <w:t xml:space="preserve">Provisional license. </w:t>
      </w:r>
      <w:r>
        <w:rPr>
          <w:rFonts w:ascii="Times New Roman" w:hAnsi="Times New Roman"/>
          <w:b w:val="false"/>
          <w:i w:val="false"/>
          <w:color w:val="000000"/>
          <w:sz w:val="22"/>
        </w:rPr>
        <w:t>A provisional license may be issued to an administrator appointed on a temporary basis to perform the duties of a nursing home administrator. A provisional license is considered a temporary appointment, and the person appointed may serve as an administrator for a period of time not to exceed 12 months in an entire career. The 12 months in service are not required to be consecutive; however, a new application is required for each appointment period. It is the responsibility of the approved provisional administrator to maintain documentation of the actual dates the administrator serves in that 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980.5(1)</w:t>
      </w:r>
      <w:r>
        <w:rPr>
          <w:rFonts w:ascii="Times New Roman" w:hAnsi="Times New Roman"/>
          <w:b w:val="false"/>
          <w:i w:val="false"/>
          <w:color w:val="000000"/>
          <w:sz w:val="22"/>
        </w:rPr>
        <w:t> </w:t>
      </w:r>
      <w:r>
        <w:rPr>
          <w:rFonts w:ascii="Times New Roman" w:hAnsi="Times New Roman"/>
          <w:b w:val="false"/>
          <w:i w:val="false"/>
          <w:color w:val="000000"/>
          <w:sz w:val="22"/>
        </w:rPr>
        <w:t>The limited circumstances under which the request for a provisional appointment will be granted include the inability of the licensed administrator to perform the administrator’s duties, the death of the licensed administrator, or circumstances that prevent the immediate transfer of the licensed administrator’s duties to another licensed administrator. A provisional license will not be issued to a licensed nursing home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980.5(2)</w:t>
      </w:r>
      <w:r>
        <w:rPr>
          <w:rFonts w:ascii="Times New Roman" w:hAnsi="Times New Roman"/>
          <w:b w:val="false"/>
          <w:i w:val="false"/>
          <w:color w:val="000000"/>
          <w:sz w:val="22"/>
        </w:rPr>
        <w:t> </w:t>
      </w:r>
      <w:r>
        <w:rPr>
          <w:rFonts w:ascii="Times New Roman" w:hAnsi="Times New Roman"/>
          <w:b w:val="false"/>
          <w:i w:val="false"/>
          <w:color w:val="000000"/>
          <w:sz w:val="22"/>
        </w:rPr>
        <w:t>Application for a provisional license shall be in writing on forms prescribed by the board. Applicants will meet the following minimum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employed on a full-time basis of no less than 40 hours per week to perform the duties of the nursing home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knowledgeable about the nursing home administrator’s domains of practice, including resident care, human resources, finance, physical environment, and leadership and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Be without a history of unprofessional conduct or denial of or disciplinary action against a license to practice nursing home administration or any other profession by any lawful licensing authority for reasons outlined in </w:t>
      </w:r>
      <w:hyperlink r:id="rId7">
        <w:r>
          <w:rPr>
            <w:rStyle w:val="Hyperlink"/>
            <w:rFonts w:ascii="Times New Roman" w:hAnsi="Times New Roman"/>
            <w:b w:val="false"/>
            <w:i w:val="false"/>
            <w:color w:val="000000"/>
            <w:sz w:val="22"/>
          </w:rPr>
          <w:t>481—Chapter 982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 evidence to establish that the provisional appointment will not exceed the lifetime maximum period of 12 calendar months in duration. For any period in which the applicant previously served as a provisional administrator, written employment verification or a written attestation of the facility owner, chief operating officer, or board officer will satisfy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evidence that the provisional appointment complies with the requirements in </w:t>
      </w:r>
      <w:hyperlink r:id="rId8">
        <w:r>
          <w:rPr>
            <w:rStyle w:val="Hyperlink"/>
            <w:rFonts w:ascii="Times New Roman" w:hAnsi="Times New Roman"/>
            <w:b w:val="false"/>
            <w:i w:val="false"/>
            <w:color w:val="000000"/>
            <w:sz w:val="22"/>
          </w:rPr>
          <w:t>481—subrule 58.8(4)</w:t>
        </w:r>
      </w:hyperlink>
      <w:r>
        <w:rPr>
          <w:rFonts w:ascii="Times New Roman" w:hAnsi="Times New Roman"/>
          <w:b w:val="false"/>
          <w:i w:val="false"/>
          <w:color w:val="000000"/>
          <w:sz w:val="22"/>
        </w:rPr>
        <w:t>. A written attestation of the facility owner, chief operating officer, or board officer will satisfy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980.5(3)</w:t>
      </w:r>
      <w:r>
        <w:rPr>
          <w:rFonts w:ascii="Times New Roman" w:hAnsi="Times New Roman"/>
          <w:b w:val="false"/>
          <w:i w:val="false"/>
          <w:color w:val="000000"/>
          <w:sz w:val="22"/>
        </w:rPr>
        <w:t> </w:t>
      </w:r>
      <w:r>
        <w:rPr>
          <w:rFonts w:ascii="Times New Roman" w:hAnsi="Times New Roman"/>
          <w:b w:val="false"/>
          <w:i w:val="false"/>
          <w:color w:val="000000"/>
          <w:sz w:val="22"/>
        </w:rPr>
        <w:t>Applications for an extension of the time period for the provisional appointment within the same facility do not require the payment of an additional fee, as long as all other requirements stated in this rule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980.5(4)</w:t>
      </w:r>
      <w:r>
        <w:rPr>
          <w:rFonts w:ascii="Times New Roman" w:hAnsi="Times New Roman"/>
          <w:b w:val="false"/>
          <w:i w:val="false"/>
          <w:color w:val="000000"/>
          <w:sz w:val="22"/>
        </w:rPr>
        <w:t> </w:t>
      </w:r>
      <w:r>
        <w:rPr>
          <w:rFonts w:ascii="Times New Roman" w:hAnsi="Times New Roman"/>
          <w:b w:val="false"/>
          <w:i w:val="false"/>
          <w:color w:val="000000"/>
          <w:sz w:val="22"/>
        </w:rPr>
        <w:t>The board expressly reserves the right to withdraw approval of a provisional appointment. Withdrawal of approval will be based on information or circumstances warranting such action. The provisional administrator will be notified of the withdrawal of approval in writing by certified mail.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481—980.6</w:t>
      </w:r>
      <w:r>
        <w:rPr>
          <w:rFonts w:ascii="Times New Roman" w:hAnsi="Times New Roman"/>
          <w:b/>
          <w:i w:val="false"/>
          <w:color w:val="000000"/>
          <w:sz w:val="22"/>
        </w:rPr>
        <w:t xml:space="preserve">(155) </w:t>
      </w:r>
      <w:r>
        <w:rPr>
          <w:rFonts w:ascii="Times New Roman" w:hAnsi="Times New Roman"/>
          <w:b/>
          <w:i w:val="false"/>
          <w:color w:val="000000"/>
          <w:sz w:val="22"/>
        </w:rPr>
        <w:t xml:space="preserve">Licensure by endorsement.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980.6(1)</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a licensed nursing home administrator under the laws of another jurisdiction will file an application for licensure by endorsement with the board office. The board may receive by endorsement any applicant from the District of Columbia or another state, territory, province or foreign country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requirements of rule </w:t>
      </w:r>
      <w:hyperlink r:id="rId9">
        <w:r>
          <w:rPr>
            <w:rStyle w:val="Hyperlink"/>
            <w:rFonts w:ascii="Times New Roman" w:hAnsi="Times New Roman"/>
            <w:b w:val="false"/>
            <w:i w:val="false"/>
            <w:color w:val="000000"/>
            <w:sz w:val="22"/>
          </w:rPr>
          <w:t>481—980.2</w:t>
        </w:r>
      </w:hyperlink>
      <w:r>
        <w:rPr>
          <w:rFonts w:ascii="Times New Roman" w:hAnsi="Times New Roman"/>
          <w:b w:val="false"/>
          <w:i w:val="false"/>
          <w:color w:val="000000"/>
          <w:sz w:val="22"/>
        </w:rPr>
        <w:t>(155).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evidence of an active license as a nursing home administrator for at least two years just prior to application, or meets the qualifications outlined in rule </w:t>
      </w:r>
      <w:hyperlink r:id="rId10">
        <w:r>
          <w:rPr>
            <w:rStyle w:val="Hyperlink"/>
            <w:rFonts w:ascii="Times New Roman" w:hAnsi="Times New Roman"/>
            <w:b w:val="false"/>
            <w:i w:val="false"/>
            <w:color w:val="000000"/>
            <w:sz w:val="22"/>
          </w:rPr>
          <w:t>481—980.4</w:t>
        </w:r>
      </w:hyperlink>
      <w:r>
        <w:rPr>
          <w:rFonts w:ascii="Times New Roman" w:hAnsi="Times New Roman"/>
          <w:b w:val="false"/>
          <w:i w:val="false"/>
          <w:color w:val="000000"/>
          <w:sz w:val="22"/>
        </w:rPr>
        <w:t>(155).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980.6(2)</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by verification. A person who is licensed in another jurisdiction but who is unable to satisfy the requirements for licensure by endorsement may apply for licensure by verification, if eligible, in accordance with rule </w:t>
      </w:r>
      <w:hyperlink r:id="rId11">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481—980.7</w:t>
      </w:r>
      <w:r>
        <w:rPr>
          <w:rFonts w:ascii="Times New Roman" w:hAnsi="Times New Roman"/>
          <w:b/>
          <w:i w:val="false"/>
          <w:color w:val="000000"/>
          <w:sz w:val="22"/>
        </w:rPr>
        <w:t xml:space="preserve">(147,155)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biennial license renewal period for a license to practice nursing home administration will begin on January 1 of each even-numbered year and end on December 31 of the next odd-numbered year. All licensees will renew on a biennial basis. The licensee is responsible for renewing the license prior to its expiration.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980.7(2)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does not need to renew the license until the subsequent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980.7(3)</w:t>
      </w:r>
      <w:r>
        <w:rPr>
          <w:rFonts w:ascii="Times New Roman" w:hAnsi="Times New Roman"/>
          <w:b w:val="false"/>
          <w:i w:val="false"/>
          <w:color w:val="000000"/>
          <w:sz w:val="22"/>
        </w:rPr>
        <w:t> </w:t>
      </w:r>
      <w:r>
        <w:rPr>
          <w:rFonts w:ascii="Times New Roman" w:hAnsi="Times New Roman"/>
          <w:b w:val="false"/>
          <w:i w:val="false"/>
          <w:color w:val="000000"/>
          <w:sz w:val="22"/>
        </w:rPr>
        <w:t>A licensee applying for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12">
        <w:r>
          <w:rPr>
            <w:rStyle w:val="Hyperlink"/>
            <w:rFonts w:ascii="Times New Roman" w:hAnsi="Times New Roman"/>
            <w:b w:val="false"/>
            <w:i w:val="false"/>
            <w:color w:val="000000"/>
            <w:sz w:val="22"/>
          </w:rPr>
          <w:t>481—981.2</w:t>
        </w:r>
      </w:hyperlink>
      <w:r>
        <w:rPr>
          <w:rFonts w:ascii="Times New Roman" w:hAnsi="Times New Roman"/>
          <w:b w:val="false"/>
          <w:i w:val="false"/>
          <w:color w:val="000000"/>
          <w:sz w:val="22"/>
        </w:rPr>
        <w:t xml:space="preserve">(272C) and the mandatory reporting requirements of subrule </w:t>
      </w:r>
      <w:r>
        <w:rPr>
          <w:rFonts w:ascii="Times New Roman" w:hAnsi="Times New Roman"/>
          <w:b w:val="false"/>
          <w:i w:val="false"/>
          <w:color w:val="000000"/>
          <w:sz w:val="22"/>
        </w:rPr>
        <w:t>980.9(8)</w:t>
      </w:r>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980.7(4)</w:t>
      </w:r>
      <w:r>
        <w:rPr>
          <w:rFonts w:ascii="Times New Roman" w:hAnsi="Times New Roman"/>
          <w:b w:val="false"/>
          <w:i w:val="false"/>
          <w:color w:val="000000"/>
          <w:sz w:val="22"/>
        </w:rPr>
        <w:t> </w:t>
      </w:r>
      <w:r>
        <w:rPr>
          <w:rFonts w:ascii="Times New Roman" w:hAnsi="Times New Roman"/>
          <w:b w:val="false"/>
          <w:i w:val="false"/>
          <w:color w:val="000000"/>
          <w:sz w:val="22"/>
        </w:rPr>
        <w:t>A two-year license will be issued after the requirements of this rule are met. If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980.7(5)</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will become late when the license has not been renewed by the expiration date on the renewal. The licensee will be assessed a late fee as specified in </w:t>
      </w:r>
      <w:hyperlink r:id="rId13">
        <w:r>
          <w:rPr>
            <w:rStyle w:val="Hyperlink"/>
            <w:rFonts w:ascii="Times New Roman" w:hAnsi="Times New Roman"/>
            <w:b w:val="false"/>
            <w:i w:val="false"/>
            <w:color w:val="000000"/>
            <w:sz w:val="22"/>
          </w:rPr>
          <w:t>481—subrule 507.10(3)</w:t>
        </w:r>
      </w:hyperlink>
      <w:r>
        <w:rPr>
          <w:rFonts w:ascii="Times New Roman" w:hAnsi="Times New Roman"/>
          <w:b w:val="false"/>
          <w:i w:val="false"/>
          <w:color w:val="000000"/>
          <w:sz w:val="22"/>
        </w:rPr>
        <w:t>. To renew a late license, the licensee will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980.7(6)</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whose license is inactive continues to hold the privilege of licensure in Iowa, but may not practice as a nursing home administrator in Iowa until the license is reactivated.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980.7(7)</w:t>
      </w:r>
      <w:r>
        <w:rPr>
          <w:rFonts w:ascii="Times New Roman" w:hAnsi="Times New Roman"/>
          <w:b w:val="false"/>
          <w:i w:val="false"/>
          <w:color w:val="000000"/>
          <w:sz w:val="22"/>
        </w:rPr>
        <w:t> </w:t>
      </w:r>
      <w:r>
        <w:rPr>
          <w:rFonts w:ascii="Times New Roman" w:hAnsi="Times New Roman"/>
          <w:b w:val="false"/>
          <w:i w:val="false"/>
          <w:color w:val="000000"/>
          <w:sz w:val="22"/>
        </w:rPr>
        <w:t>Licensees will display their license certificate and proof of active licensure will be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980.7(8)</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 examines, attends, counsels, or treats children, dependent adults, or both in the scope of the licensee’s professional practice will complete the applicable department of health and human services training relating to the identification and reporting of child abuse, dependent adult abuse, or both. Written documentation of training completion should be maintained for three years. The training is not required if the licensee is engaged in active duty military service or holds a waiver demonstrating a hardship in complying with these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subrule </w:t>
      </w:r>
      <w:r>
        <w:rPr>
          <w:rFonts w:ascii="Times New Roman" w:hAnsi="Times New Roman"/>
          <w:b w:val="false"/>
          <w:i w:val="false"/>
          <w:color w:val="000000"/>
          <w:sz w:val="22"/>
        </w:rPr>
        <w:t>980.7(8)</w:t>
      </w:r>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481—980.8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980.8(1)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online reactivation application and pay the nonrefundable application fee.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980.8(2)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as a nursing home administrator by satisfying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The applicant must also disclose any public or pending complaints against the applicant in any other jurisdiction.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40 hours of continuing education within two years of the application for reactivation or verification of active practice, consisting of a minimum of 2,080 hours, in another state or jurisdiction during the two years preceding an application for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481—980.9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A licensee whose license has been revoked, suspended, or voluntarily surrendered must apply for and receive board-approved reinstatement of the license and must apply for and be granted reactivation of the license prior to practicing as a nursing home administrator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155</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2/23/71]</w:t>
      </w:r>
    </w:p>
    <w:p>
      <w:pPr>
        <w:spacing w:before="0" w:after="0"/>
        <w:ind w:left="120"/>
        <w:jc w:val="center"/>
      </w:pPr>
      <w:r>
        <w:rPr>
          <w:rFonts w:ascii="Times New Roman" w:hAnsi="Times New Roman"/>
          <w:b w:val="false"/>
          <w:i w:val="false"/>
          <w:color w:val="000000"/>
          <w:sz w:val="21"/>
        </w:rPr>
        <w:t>[Filed 3/19/76, Notice 2/9/76—published 4/5/76, effective 5/10/76]</w:t>
      </w:r>
    </w:p>
    <w:p>
      <w:pPr>
        <w:spacing w:before="0" w:after="0"/>
        <w:ind w:left="120"/>
        <w:jc w:val="center"/>
      </w:pPr>
      <w:r>
        <w:rPr>
          <w:rFonts w:ascii="Times New Roman" w:hAnsi="Times New Roman"/>
          <w:b w:val="false"/>
          <w:i w:val="false"/>
          <w:color w:val="000000"/>
          <w:sz w:val="21"/>
        </w:rPr>
        <w:t>[Filed 11/18/76, Notice 9/22/76—published 12/15/76, effective 1/19/77]</w:t>
      </w:r>
    </w:p>
    <w:p>
      <w:pPr>
        <w:spacing w:before="0" w:after="0"/>
        <w:ind w:left="120"/>
        <w:jc w:val="center"/>
      </w:pPr>
      <w:r>
        <w:rPr>
          <w:rFonts w:ascii="Times New Roman" w:hAnsi="Times New Roman"/>
          <w:b w:val="false"/>
          <w:i w:val="false"/>
          <w:color w:val="000000"/>
          <w:sz w:val="21"/>
        </w:rPr>
        <w:t>[Filed 8/28/78, Notice 3/8/78—published 9/20/78, effective 10/25/78]</w:t>
      </w:r>
    </w:p>
    <w:p>
      <w:pPr>
        <w:spacing w:before="0" w:after="0"/>
        <w:ind w:left="120"/>
        <w:jc w:val="center"/>
      </w:pPr>
      <w:r>
        <w:rPr>
          <w:rFonts w:ascii="Times New Roman" w:hAnsi="Times New Roman"/>
          <w:b w:val="false"/>
          <w:i w:val="false"/>
          <w:color w:val="000000"/>
          <w:sz w:val="21"/>
        </w:rPr>
        <w:t>[Filed 12/8/78, Notice 9/20/78—published 12/27/78, effective 1/31/79]</w:t>
      </w:r>
    </w:p>
    <w:p>
      <w:pPr>
        <w:spacing w:before="0" w:after="0"/>
        <w:ind w:left="120"/>
        <w:jc w:val="center"/>
      </w:pPr>
      <w:r>
        <w:rPr>
          <w:rFonts w:ascii="Times New Roman" w:hAnsi="Times New Roman"/>
          <w:b w:val="false"/>
          <w:i w:val="false"/>
          <w:color w:val="000000"/>
          <w:sz w:val="21"/>
        </w:rPr>
        <w:t>[Filed 10/19/79, Notice 8/22/79—published 11/14/79, effective 12/21/79]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12/18/79—published 1/9/80, effective 12/18/79]</w:t>
      </w:r>
    </w:p>
    <w:p>
      <w:pPr>
        <w:spacing w:before="0" w:after="0"/>
        <w:ind w:left="120"/>
        <w:jc w:val="center"/>
      </w:pPr>
      <w:r>
        <w:rPr>
          <w:rFonts w:ascii="Times New Roman" w:hAnsi="Times New Roman"/>
          <w:b w:val="false"/>
          <w:i w:val="false"/>
          <w:color w:val="000000"/>
          <w:sz w:val="21"/>
        </w:rPr>
        <w:t>[Filed 5/7/80, Notice 4/2/80—published 5/28/80, effective 7/7/80]</w:t>
      </w:r>
    </w:p>
    <w:p>
      <w:pPr>
        <w:spacing w:before="0" w:after="0"/>
        <w:ind w:left="120"/>
        <w:jc w:val="center"/>
      </w:pPr>
      <w:r>
        <w:rPr>
          <w:rFonts w:ascii="Times New Roman" w:hAnsi="Times New Roman"/>
          <w:b w:val="false"/>
          <w:i w:val="false"/>
          <w:color w:val="000000"/>
          <w:sz w:val="21"/>
        </w:rPr>
        <w:t>[Filed emergency 6/9/80—published 7/9/80, effective 7/7/80]</w:t>
      </w:r>
    </w:p>
    <w:p>
      <w:pPr>
        <w:spacing w:before="0" w:after="0"/>
        <w:ind w:left="120"/>
        <w:jc w:val="center"/>
      </w:pPr>
      <w:r>
        <w:rPr>
          <w:rFonts w:ascii="Times New Roman" w:hAnsi="Times New Roman"/>
          <w:b w:val="false"/>
          <w:i w:val="false"/>
          <w:color w:val="000000"/>
          <w:sz w:val="21"/>
        </w:rPr>
        <w:t>[Filed 3/13/81, Notice 12/24/80—published 4/1/81, effective 5/7/81]</w:t>
      </w:r>
    </w:p>
    <w:p>
      <w:pPr>
        <w:spacing w:before="0" w:after="0"/>
        <w:ind w:left="120"/>
        <w:jc w:val="center"/>
      </w:pPr>
      <w:r>
        <w:rPr>
          <w:rFonts w:ascii="Times New Roman" w:hAnsi="Times New Roman"/>
          <w:b w:val="false"/>
          <w:i w:val="false"/>
          <w:color w:val="000000"/>
          <w:sz w:val="21"/>
        </w:rPr>
        <w:t>[Filed 8/14/81, Notice 6/10/81—published 9/2/81, effective 10/7/81]</w:t>
      </w:r>
    </w:p>
    <w:p>
      <w:pPr>
        <w:spacing w:before="0" w:after="0"/>
        <w:ind w:left="120"/>
        <w:jc w:val="center"/>
      </w:pPr>
      <w:r>
        <w:rPr>
          <w:rFonts w:ascii="Times New Roman" w:hAnsi="Times New Roman"/>
          <w:b w:val="false"/>
          <w:i w:val="false"/>
          <w:color w:val="000000"/>
          <w:sz w:val="21"/>
        </w:rPr>
        <w:t>[Filed 3/18/82, Notice 2/3/82—published 4/14/82, effective 5/19/82]</w:t>
      </w:r>
    </w:p>
    <w:p>
      <w:pPr>
        <w:spacing w:before="0" w:after="0"/>
        <w:ind w:left="120"/>
        <w:jc w:val="center"/>
      </w:pPr>
      <w:r>
        <w:rPr>
          <w:rFonts w:ascii="Times New Roman" w:hAnsi="Times New Roman"/>
          <w:b w:val="false"/>
          <w:i w:val="false"/>
          <w:color w:val="000000"/>
          <w:sz w:val="21"/>
        </w:rPr>
        <w:t>[Filed 10/6/83, Notice 7/20/83—published 10/26/83, effective 12/1/83]</w:t>
      </w:r>
    </w:p>
    <w:p>
      <w:pPr>
        <w:spacing w:before="0" w:after="0"/>
        <w:ind w:left="120"/>
        <w:jc w:val="center"/>
      </w:pPr>
      <w:r>
        <w:rPr>
          <w:rFonts w:ascii="Times New Roman" w:hAnsi="Times New Roman"/>
          <w:b w:val="false"/>
          <w:i w:val="false"/>
          <w:color w:val="000000"/>
          <w:sz w:val="21"/>
        </w:rPr>
        <w:t>[Filed emergency 11/30/83 after Notice 10/26/83—published 12/21/83, effective 11/30/83]</w:t>
      </w:r>
    </w:p>
    <w:p>
      <w:pPr>
        <w:spacing w:before="0" w:after="0"/>
        <w:ind w:left="120"/>
        <w:jc w:val="center"/>
      </w:pPr>
      <w:r>
        <w:rPr>
          <w:rFonts w:ascii="Times New Roman" w:hAnsi="Times New Roman"/>
          <w:b w:val="false"/>
          <w:i w:val="false"/>
          <w:color w:val="000000"/>
          <w:sz w:val="21"/>
        </w:rPr>
        <w:t>[Filed 5/11/84, Notice 3/14/84—published 6/6/84, effective 7/12/84]</w:t>
      </w:r>
    </w:p>
    <w:p>
      <w:pPr>
        <w:spacing w:before="0" w:after="0"/>
        <w:ind w:left="120"/>
        <w:jc w:val="center"/>
      </w:pPr>
      <w:r>
        <w:rPr>
          <w:rFonts w:ascii="Times New Roman" w:hAnsi="Times New Roman"/>
          <w:b w:val="false"/>
          <w:i w:val="false"/>
          <w:color w:val="000000"/>
          <w:sz w:val="21"/>
        </w:rPr>
        <w:t>[Filed 7/13/84, Notice 6/6/84—published 8/1/84, effective 9/5/84]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11/8/84, Notice 9/12/84—published 12/5/84, effective 1/9/85]</w:t>
      </w:r>
    </w:p>
    <w:p>
      <w:pPr>
        <w:spacing w:before="0" w:after="0"/>
        <w:ind w:left="120"/>
        <w:jc w:val="center"/>
      </w:pPr>
      <w:r>
        <w:rPr>
          <w:rFonts w:ascii="Times New Roman" w:hAnsi="Times New Roman"/>
          <w:b w:val="false"/>
          <w:i w:val="false"/>
          <w:color w:val="000000"/>
          <w:sz w:val="21"/>
        </w:rPr>
        <w:t>[Filed 1/11/85, Notice 11/7/84—published 1/30/85, effective 3/6/85]</w:t>
      </w:r>
    </w:p>
    <w:p>
      <w:pPr>
        <w:spacing w:before="0" w:after="0"/>
        <w:ind w:left="120"/>
        <w:jc w:val="center"/>
      </w:pPr>
      <w:r>
        <w:rPr>
          <w:rFonts w:ascii="Times New Roman" w:hAnsi="Times New Roman"/>
          <w:b w:val="false"/>
          <w:i w:val="false"/>
          <w:color w:val="000000"/>
          <w:sz w:val="21"/>
        </w:rPr>
        <w:t>[Filed 4/4/85, Notice 12/5/84—published 4/24/85, effective 5/29/85]</w:t>
      </w:r>
    </w:p>
    <w:p>
      <w:pPr>
        <w:spacing w:before="0" w:after="0"/>
        <w:ind w:left="120"/>
        <w:jc w:val="center"/>
      </w:pPr>
      <w:r>
        <w:rPr>
          <w:rFonts w:ascii="Times New Roman" w:hAnsi="Times New Roman"/>
          <w:b w:val="false"/>
          <w:i w:val="false"/>
          <w:color w:val="000000"/>
          <w:sz w:val="21"/>
        </w:rPr>
        <w:t>[Filed 7/10/85, Notice 6/5/85—published 7/31/85, effective 9/4/85]</w:t>
      </w:r>
    </w:p>
    <w:p>
      <w:pPr>
        <w:spacing w:before="0" w:after="0"/>
        <w:ind w:left="120"/>
        <w:jc w:val="center"/>
      </w:pPr>
      <w:r>
        <w:rPr>
          <w:rFonts w:ascii="Times New Roman" w:hAnsi="Times New Roman"/>
          <w:b w:val="false"/>
          <w:i w:val="false"/>
          <w:color w:val="000000"/>
          <w:sz w:val="21"/>
        </w:rPr>
        <w:t>[Filed 1/17/86, Notice 8/14/85—published 2/12/86, effective 3/21/86]</w:t>
      </w:r>
    </w:p>
    <w:p>
      <w:pPr>
        <w:spacing w:before="0" w:after="0"/>
        <w:ind w:left="120"/>
        <w:jc w:val="center"/>
      </w:pPr>
      <w:r>
        <w:rPr>
          <w:rFonts w:ascii="Times New Roman" w:hAnsi="Times New Roman"/>
          <w:b w:val="false"/>
          <w:i w:val="false"/>
          <w:color w:val="000000"/>
          <w:sz w:val="21"/>
        </w:rPr>
        <w:t>[Filed 8/5/88, Notice 3/23/88—published 8/24/88, effective 9/28/88]</w:t>
      </w:r>
    </w:p>
    <w:p>
      <w:pPr>
        <w:spacing w:before="0" w:after="0"/>
        <w:ind w:left="120"/>
        <w:jc w:val="center"/>
      </w:pPr>
      <w:r>
        <w:rPr>
          <w:rFonts w:ascii="Times New Roman" w:hAnsi="Times New Roman"/>
          <w:b w:val="false"/>
          <w:i w:val="false"/>
          <w:color w:val="000000"/>
          <w:sz w:val="21"/>
        </w:rPr>
        <w:t>[Filed 2/17/89, Notice 12/14/88—published 3/8/89, effective 4/12/89]</w:t>
      </w:r>
    </w:p>
    <w:p>
      <w:pPr>
        <w:spacing w:before="0" w:after="0"/>
        <w:ind w:left="120"/>
        <w:jc w:val="center"/>
      </w:pPr>
      <w:r>
        <w:rPr>
          <w:rFonts w:ascii="Times New Roman" w:hAnsi="Times New Roman"/>
          <w:b w:val="false"/>
          <w:i w:val="false"/>
          <w:color w:val="000000"/>
          <w:sz w:val="21"/>
        </w:rPr>
        <w:t>[Filed 11/22/89, Notice 9/20/89—published 12/13/89, effective 1/17/90]</w:t>
      </w:r>
    </w:p>
    <w:p>
      <w:pPr>
        <w:spacing w:before="0" w:after="0"/>
        <w:ind w:left="120"/>
        <w:jc w:val="center"/>
      </w:pPr>
      <w:r>
        <w:rPr>
          <w:rFonts w:ascii="Times New Roman" w:hAnsi="Times New Roman"/>
          <w:b w:val="false"/>
          <w:i w:val="false"/>
          <w:color w:val="000000"/>
          <w:sz w:val="21"/>
        </w:rPr>
        <w:t>[Filed 4/13/90, Notice 2/21/90—published 5/2/90, effective 6/6/90]</w:t>
      </w:r>
    </w:p>
    <w:p>
      <w:pPr>
        <w:spacing w:before="0" w:after="0"/>
        <w:ind w:left="120"/>
        <w:jc w:val="center"/>
      </w:pPr>
      <w:r>
        <w:rPr>
          <w:rFonts w:ascii="Times New Roman" w:hAnsi="Times New Roman"/>
          <w:b w:val="false"/>
          <w:i w:val="false"/>
          <w:color w:val="000000"/>
          <w:sz w:val="21"/>
        </w:rPr>
        <w:t>[Filed 7/20/90, Notice 4/4/90—published 8/8/90, effective 9/12/90]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3/15/91, Notice 12/26/90—published 4/3/91, effective 5/8/91]</w:t>
      </w:r>
    </w:p>
    <w:p>
      <w:pPr>
        <w:spacing w:before="0" w:after="0"/>
        <w:ind w:left="120"/>
        <w:jc w:val="center"/>
      </w:pPr>
      <w:r>
        <w:rPr>
          <w:rFonts w:ascii="Times New Roman" w:hAnsi="Times New Roman"/>
          <w:b w:val="false"/>
          <w:i w:val="false"/>
          <w:color w:val="000000"/>
          <w:sz w:val="21"/>
        </w:rPr>
        <w:t>[Filed emergency 8/16/91—published 9/4/91, effective 8/16/91]</w:t>
      </w:r>
    </w:p>
    <w:p>
      <w:pPr>
        <w:spacing w:before="0" w:after="0"/>
        <w:ind w:left="120"/>
        <w:jc w:val="center"/>
      </w:pPr>
      <w:r>
        <w:rPr>
          <w:rFonts w:ascii="Times New Roman" w:hAnsi="Times New Roman"/>
          <w:b w:val="false"/>
          <w:i w:val="false"/>
          <w:color w:val="000000"/>
          <w:sz w:val="21"/>
        </w:rPr>
        <w:t>[Filed 2/13/92, Notice 12/25/91—published 3/4/92, effective 4/8/92]</w:t>
      </w:r>
    </w:p>
    <w:p>
      <w:pPr>
        <w:spacing w:before="0" w:after="0"/>
        <w:ind w:left="120"/>
        <w:jc w:val="center"/>
      </w:pPr>
      <w:r>
        <w:rPr>
          <w:rFonts w:ascii="Times New Roman" w:hAnsi="Times New Roman"/>
          <w:b w:val="false"/>
          <w:i w:val="false"/>
          <w:color w:val="000000"/>
          <w:sz w:val="21"/>
        </w:rPr>
        <w:t>[Filed 8/25/95, Notice 3/15/95—published 9/13/95, effective 10/18/95]</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9/4/98, Notice 7/15/98—published 9/23/98, effective 10/28/98]</w:t>
      </w:r>
    </w:p>
    <w:p>
      <w:pPr>
        <w:spacing w:before="0" w:after="0"/>
        <w:ind w:left="120"/>
        <w:jc w:val="center"/>
      </w:pPr>
      <w:r>
        <w:rPr>
          <w:rFonts w:ascii="Times New Roman" w:hAnsi="Times New Roman"/>
          <w:b w:val="false"/>
          <w:i w:val="false"/>
          <w:color w:val="000000"/>
          <w:sz w:val="21"/>
        </w:rPr>
        <w:t>[Filed 6/11/99, Notice 4/7/99—published 6/30/99, effective 8/4/99]</w:t>
      </w:r>
    </w:p>
    <w:p>
      <w:pPr>
        <w:spacing w:before="0" w:after="0"/>
        <w:ind w:left="120"/>
        <w:jc w:val="center"/>
      </w:pPr>
      <w:r>
        <w:rPr>
          <w:rFonts w:ascii="Times New Roman" w:hAnsi="Times New Roman"/>
          <w:b w:val="false"/>
          <w:i w:val="false"/>
          <w:color w:val="000000"/>
          <w:sz w:val="21"/>
        </w:rPr>
        <w:t>[Filed 10/29/99, Notice 9/8/99—published 11/17/99, effective 12/22/99]</w:t>
      </w:r>
    </w:p>
    <w:p>
      <w:pPr>
        <w:spacing w:before="0" w:after="0"/>
        <w:ind w:left="120"/>
        <w:jc w:val="center"/>
      </w:pPr>
      <w:r>
        <w:rPr>
          <w:rFonts w:ascii="Times New Roman" w:hAnsi="Times New Roman"/>
          <w:b w:val="false"/>
          <w:i w:val="false"/>
          <w:color w:val="000000"/>
          <w:sz w:val="21"/>
        </w:rPr>
        <w:t>[Filed 9/29/00, Notice 7/26/00—published 10/18/00, effective 11/22/00]</w:t>
      </w:r>
    </w:p>
    <w:p>
      <w:pPr>
        <w:spacing w:before="0" w:after="0"/>
        <w:ind w:left="120"/>
        <w:jc w:val="center"/>
      </w:pPr>
      <w:r>
        <w:rPr>
          <w:rFonts w:ascii="Times New Roman" w:hAnsi="Times New Roman"/>
          <w:b w:val="false"/>
          <w:i w:val="false"/>
          <w:color w:val="000000"/>
          <w:sz w:val="21"/>
        </w:rPr>
        <w:t>[Filed 5/11/01, Notice 3/21/01—published 5/30/01, effective 7/4/01]</w:t>
      </w:r>
    </w:p>
    <w:p>
      <w:pPr>
        <w:spacing w:before="0" w:after="0"/>
        <w:ind w:left="120"/>
        <w:jc w:val="center"/>
      </w:pPr>
      <w:r>
        <w:rPr>
          <w:rFonts w:ascii="Times New Roman" w:hAnsi="Times New Roman"/>
          <w:b w:val="false"/>
          <w:i w:val="false"/>
          <w:color w:val="000000"/>
          <w:sz w:val="21"/>
        </w:rPr>
        <w:t>[Filed 10/21/04, Notice 8/18/04—published 11/10/04, effective 12/15/04]</w:t>
      </w:r>
    </w:p>
    <w:p>
      <w:pPr>
        <w:spacing w:before="0" w:after="0"/>
        <w:ind w:left="120"/>
        <w:jc w:val="center"/>
      </w:pPr>
      <w:r>
        <w:rPr>
          <w:rFonts w:ascii="Times New Roman" w:hAnsi="Times New Roman"/>
          <w:b w:val="false"/>
          <w:i w:val="false"/>
          <w:color w:val="000000"/>
          <w:sz w:val="21"/>
        </w:rPr>
        <w:t>[Filed 7/21/05, Notice 4/27/05—published 8/17/05, effective 9/21/05]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1/20/06, Notice 11/9/05—published 2/15/06, effective 3/22/06]</w:t>
      </w:r>
    </w:p>
    <w:p>
      <w:pPr>
        <w:spacing w:before="0" w:after="0"/>
        <w:ind w:left="120"/>
        <w:jc w:val="center"/>
      </w:pPr>
      <w:r>
        <w:rPr>
          <w:rFonts w:ascii="Times New Roman" w:hAnsi="Times New Roman"/>
          <w:b w:val="false"/>
          <w:i w:val="false"/>
          <w:color w:val="000000"/>
          <w:sz w:val="21"/>
        </w:rPr>
        <w:t>[Filed 10/19/06, Notice 8/2/06—published 11/8/06, effective 12/13/06]</w:t>
      </w:r>
    </w:p>
    <w:p>
      <w:pPr>
        <w:spacing w:before="0" w:after="0"/>
        <w:ind w:left="120"/>
        <w:jc w:val="center"/>
      </w:pPr>
      <w:r>
        <w:rPr>
          <w:rFonts w:ascii="Times New Roman" w:hAnsi="Times New Roman"/>
          <w:b w:val="false"/>
          <w:i w:val="false"/>
          <w:color w:val="000000"/>
          <w:sz w:val="21"/>
        </w:rPr>
        <w:t>[Filed ARC 7576B</w:t>
      </w:r>
      <w:r>
        <w:rPr>
          <w:rFonts w:ascii="Times New Roman" w:hAnsi="Times New Roman"/>
          <w:b w:val="false"/>
          <w:i w:val="false"/>
          <w:color w:val="000000"/>
          <w:sz w:val="21"/>
        </w:rPr>
        <w:t xml:space="preserve"> (Notice ARC 7285B, IAB 10/22/08)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ARC 0024C</w:t>
      </w:r>
      <w:r>
        <w:rPr>
          <w:rFonts w:ascii="Times New Roman" w:hAnsi="Times New Roman"/>
          <w:b w:val="false"/>
          <w:i w:val="false"/>
          <w:color w:val="000000"/>
          <w:sz w:val="21"/>
        </w:rPr>
        <w:t xml:space="preserve"> (Notice ARC 9801B, IAB 10/5/11)</w:t>
      </w:r>
      <w:r>
        <w:rPr>
          <w:rFonts w:ascii="Times New Roman" w:hAnsi="Times New Roman"/>
          <w:b w:val="false"/>
          <w:i w:val="false"/>
          <w:color w:val="000000"/>
          <w:sz w:val="21"/>
        </w:rPr>
        <w:t>, IAB 2/22/12, effective 3/28/12]</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[Editorial change: IAC Supplement 3/21/12]</w:t>
      </w:r>
    </w:p>
    <w:p>
      <w:pPr>
        <w:spacing w:before="0" w:after="0"/>
        <w:ind w:left="120"/>
        <w:jc w:val="center"/>
      </w:pPr>
      <w:r>
        <w:rPr>
          <w:rFonts w:ascii="Times New Roman" w:hAnsi="Times New Roman"/>
          <w:b w:val="false"/>
          <w:i w:val="false"/>
          <w:color w:val="000000"/>
          <w:sz w:val="21"/>
        </w:rPr>
        <w:t>[Filed ARC 0797C</w:t>
      </w:r>
      <w:r>
        <w:rPr>
          <w:rFonts w:ascii="Times New Roman" w:hAnsi="Times New Roman"/>
          <w:b w:val="false"/>
          <w:i w:val="false"/>
          <w:color w:val="000000"/>
          <w:sz w:val="21"/>
        </w:rPr>
        <w:t xml:space="preserve"> (Notice ARC 0651C, IAB 3/20/13)</w:t>
      </w:r>
      <w:r>
        <w:rPr>
          <w:rFonts w:ascii="Times New Roman" w:hAnsi="Times New Roman"/>
          <w:b w:val="false"/>
          <w:i w:val="false"/>
          <w:color w:val="000000"/>
          <w:sz w:val="21"/>
        </w:rPr>
        <w:t>, IAB 6/26/13, effective 7/31/13]</w:t>
      </w:r>
    </w:p>
    <w:p>
      <w:pPr>
        <w:spacing w:before="0" w:after="0"/>
        <w:ind w:left="120"/>
        <w:jc w:val="center"/>
      </w:pPr>
      <w:r>
        <w:rPr>
          <w:rFonts w:ascii="Times New Roman" w:hAnsi="Times New Roman"/>
          <w:b w:val="false"/>
          <w:i w:val="false"/>
          <w:color w:val="000000"/>
          <w:sz w:val="21"/>
        </w:rPr>
        <w:t>[Filed ARC 5070C</w:t>
      </w:r>
      <w:r>
        <w:rPr>
          <w:rFonts w:ascii="Times New Roman" w:hAnsi="Times New Roman"/>
          <w:b w:val="false"/>
          <w:i w:val="false"/>
          <w:color w:val="000000"/>
          <w:sz w:val="21"/>
        </w:rPr>
        <w:t xml:space="preserve"> (Notice ARC 4936C, IAB 2/26/20)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5775C</w:t>
      </w:r>
      <w:r>
        <w:rPr>
          <w:rFonts w:ascii="Times New Roman" w:hAnsi="Times New Roman"/>
          <w:b w:val="false"/>
          <w:i w:val="false"/>
          <w:color w:val="000000"/>
          <w:sz w:val="21"/>
        </w:rPr>
        <w:t xml:space="preserve"> (Notice ARC 5453C,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6995C</w:t>
      </w:r>
      <w:r>
        <w:rPr>
          <w:rFonts w:ascii="Times New Roman" w:hAnsi="Times New Roman"/>
          <w:b w:val="false"/>
          <w:i w:val="false"/>
          <w:color w:val="000000"/>
          <w:sz w:val="21"/>
        </w:rPr>
        <w:t xml:space="preserve"> (Notice ARC 6657C,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7971C</w:t>
      </w:r>
      <w:r>
        <w:rPr>
          <w:rFonts w:ascii="Times New Roman" w:hAnsi="Times New Roman"/>
          <w:b w:val="false"/>
          <w:i w:val="false"/>
          <w:color w:val="000000"/>
          <w:sz w:val="21"/>
        </w:rPr>
        <w:t xml:space="preserve"> (Notice ARC 7476C,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rule 600—2.7 delayed by the Administrative Rules Review Committee 70 days.</w:t>
      </w:r>
    </w:p>
    <w:p>
      <w:pPr>
        <w:pBdr>
          <w:bottom w:space="2"/>
        </w:pBdr>
        <w:spacing w:before="0" w:after="0"/>
        <w:ind w:left="120"/>
        <w:jc w:val="both"/>
      </w:pPr>
      <w:r>
        <w:rPr>
          <w:rFonts w:ascii="Times New Roman" w:hAnsi="Times New Roman"/>
          <w:b w:val="false"/>
          <w:i w:val="false"/>
          <w:color w:val="000000"/>
          <w:sz w:val="22"/>
        </w:rPr>
        <w:t>Effective date of 645—subrule 141.3(2), delayed until adjournment of the 1996 General Assembly by the Administrative Rules Review Committee at its meeting held October 10, 1995.</w:t>
      </w:r>
    </w:p>
    <w:p>
      <w:pPr>
        <w:pBdr>
          <w:bottom w:space="2"/>
        </w:pBdr>
        <w:spacing w:before="0" w:after="0"/>
        <w:ind w:left="120"/>
        <w:jc w:val="both"/>
      </w:pPr>
      <w:r>
        <w:rPr>
          <w:rFonts w:ascii="Times New Roman" w:hAnsi="Times New Roman"/>
          <w:b w:val="false"/>
          <w:i w:val="false"/>
          <w:color w:val="000000"/>
          <w:sz w:val="22"/>
        </w:rPr>
        <w:t>March 28, 2012, effective date of 141.9(1) delayed 70 days by the Administrative Rules Review Committee at its meeting held March 12, 2012.</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980.15.pdf" Type="http://schemas.openxmlformats.org/officeDocument/2006/relationships/hyperlink" Id="rId4"/>
    <Relationship TargetMode="External" Target="https://www.legis.iowa.gov/docs/iac/rule/481.506.31.pdf" Type="http://schemas.openxmlformats.org/officeDocument/2006/relationships/hyperlink" Id="rId5"/>
    <Relationship TargetMode="External" Target="https://www.legis.iowa.gov/docs/iac/rule/645.5.10.pdf" Type="http://schemas.openxmlformats.org/officeDocument/2006/relationships/hyperlink" Id="rId6"/>
    <Relationship TargetMode="External" Target="https://www.legis.iowa.gov/docs/iac/chapter/481.982.pdf" Type="http://schemas.openxmlformats.org/officeDocument/2006/relationships/hyperlink" Id="rId7"/>
    <Relationship TargetMode="External" Target="https://www.legis.iowa.gov/docs/iac/rule/481.58.8.pdf" Type="http://schemas.openxmlformats.org/officeDocument/2006/relationships/hyperlink" Id="rId8"/>
    <Relationship TargetMode="External" Target="https://www.legis.iowa.gov/docs/iac/rule/481.980.2.pdf" Type="http://schemas.openxmlformats.org/officeDocument/2006/relationships/hyperlink" Id="rId9"/>
    <Relationship TargetMode="External" Target="https://www.legis.iowa.gov/docs/iac/rule/481.980.4.pdf" Type="http://schemas.openxmlformats.org/officeDocument/2006/relationships/hyperlink" Id="rId10"/>
    <Relationship TargetMode="External" Target="https://www.legis.iowa.gov/docs/iac/rule/481.501.1.pdf" Type="http://schemas.openxmlformats.org/officeDocument/2006/relationships/hyperlink" Id="rId11"/>
    <Relationship TargetMode="External" Target="https://www.legis.iowa.gov/docs/iac/rule/481.981.2.pdf" Type="http://schemas.openxmlformats.org/officeDocument/2006/relationships/hyperlink" Id="rId12"/>
    <Relationship TargetMode="External" Target="https://www.legis.iowa.gov/docs/iac/rule/481.507.10.pdf" Type="http://schemas.openxmlformats.org/officeDocument/2006/relationships/hyperlink" Id="rId13"/>
    <Relationship TargetMode="External" Target="https://www.legis.iowa.gov/docs/ico/chapter/17A.pdf" Type="http://schemas.openxmlformats.org/officeDocument/2006/relationships/hyperlink" Id="rId14"/>
    <Relationship TargetMode="External" Target="https://www.legis.iowa.gov/docs/ico/chapter/147.pdf" Type="http://schemas.openxmlformats.org/officeDocument/2006/relationships/hyperlink" Id="rId15"/>
    <Relationship TargetMode="External" Target="https://www.legis.iowa.gov/docs/ico/chapter/155.pdf" Type="http://schemas.openxmlformats.org/officeDocument/2006/relationships/hyperlink" Id="rId16"/>
    <Relationship TargetMode="External" Target="https://www.legis.iowa.gov/docs/ico/chapter/272C.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