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963</w:t>
      </w:r>
    </w:p>
    <w:p>
      <w:pPr>
        <w:spacing w:before="0" w:after="0"/>
        <w:ind w:left="120"/>
        <w:jc w:val="center"/>
      </w:pPr>
      <w:r>
        <w:rPr>
          <w:rFonts w:ascii="Times New Roman" w:hAnsi="Times New Roman"/>
          <w:b w:val="false"/>
          <w:i w:val="false"/>
          <w:color w:val="000000"/>
          <w:sz w:val="21"/>
        </w:rPr>
        <w:t>DISCIPLINE FOR SIGN LANGUAGE INTERPRETERS AND TRANSLITERATORS</w:t>
      </w:r>
    </w:p>
    <w:p>
      <w:pPr>
        <w:spacing w:before="0" w:after="0"/>
        <w:ind w:left="120"/>
        <w:jc w:val="center"/>
      </w:pPr>
      <w:r>
        <w:rPr>
          <w:rFonts w:ascii="Times New Roman" w:hAnsi="Times New Roman"/>
          <w:b w:val="false"/>
          <w:i w:val="false"/>
          <w:color w:val="000000"/>
          <w:sz w:val="14"/>
        </w:rPr>
        <w:t>[Prior to 9/18/24, see Professional Licensure Division[645] Ch 363]</w:t>
      </w:r>
    </w:p>
    <w:p>
      <w:pPr>
        <w:spacing w:before="0" w:after="0"/>
        <w:ind w:left="120"/>
        <w:jc w:val="both"/>
      </w:pPr>
      <w:r>
        <w:rPr>
          <w:rFonts w:ascii="Times New Roman" w:hAnsi="Times New Roman"/>
          <w:b/>
          <w:i w:val="false"/>
          <w:color w:val="000000"/>
          <w:sz w:val="22"/>
        </w:rPr>
        <w:t>481—963.1</w:t>
      </w:r>
      <w:r>
        <w:rPr>
          <w:rFonts w:ascii="Times New Roman" w:hAnsi="Times New Roman"/>
          <w:b/>
          <w:i w:val="false"/>
          <w:color w:val="000000"/>
          <w:sz w:val="22"/>
        </w:rPr>
        <w:t xml:space="preserve">(154E) </w:t>
      </w:r>
      <w:r>
        <w:rPr>
          <w:rFonts w:ascii="Times New Roman" w:hAnsi="Times New Roman"/>
          <w:b/>
          <w:i w:val="false"/>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w:t>
      </w:r>
      <w:r>
        <w:rPr>
          <w:rFonts w:ascii="Times New Roman" w:hAnsi="Times New Roman"/>
          <w:b w:val="false"/>
          <w:i w:val="false"/>
          <w:color w:val="000000"/>
          <w:sz w:val="22"/>
        </w:rPr>
        <w:t>means an individual utilizing interpreting services who uses spoken English, American Sign Language, or a manual form of English, and in an interpreting situation or setting, the term “consumer” includes both the deaf or hard-of-hearing individual or individuals and the hearing individual or individuals present in such situation or setting.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481—963.2</w:t>
      </w:r>
      <w:r>
        <w:rPr>
          <w:rFonts w:ascii="Times New Roman" w:hAnsi="Times New Roman"/>
          <w:b/>
          <w:i w:val="false"/>
          <w:color w:val="000000"/>
          <w:sz w:val="22"/>
        </w:rPr>
        <w:t xml:space="preserve">(154E,272C)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rule </w:t>
      </w:r>
      <w:hyperlink r:id="rId4">
        <w:r>
          <w:rPr>
            <w:rStyle w:val="Hyperlink"/>
            <w:rFonts w:ascii="Times New Roman" w:hAnsi="Times New Roman"/>
            <w:b w:val="false"/>
            <w:i w:val="false"/>
            <w:color w:val="000000"/>
            <w:sz w:val="22"/>
          </w:rPr>
          <w:t>481—363.2</w:t>
        </w:r>
      </w:hyperlink>
      <w:r>
        <w:rPr>
          <w:rFonts w:ascii="Times New Roman" w:hAnsi="Times New Roman"/>
          <w:b w:val="false"/>
          <w:i w:val="false"/>
          <w:color w:val="000000"/>
          <w:sz w:val="22"/>
        </w:rPr>
        <w:t xml:space="preserve">(154E,272C) when the board determines that the licensee is guilty of any of the following acts or offenses or those listed in </w:t>
      </w:r>
      <w:hyperlink r:id="rId5">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963.2(1)</w:t>
      </w:r>
      <w:r>
        <w:rPr>
          <w:rFonts w:ascii="Times New Roman" w:hAnsi="Times New Roman"/>
          <w:b w:val="false"/>
          <w:i w:val="false"/>
          <w:color w:val="000000"/>
          <w:sz w:val="22"/>
        </w:rPr>
        <w:t> </w:t>
      </w:r>
      <w:r>
        <w:rPr>
          <w:rFonts w:ascii="Times New Roman" w:hAnsi="Times New Roman"/>
          <w:b w:val="false"/>
          <w:i w:val="false"/>
          <w:color w:val="000000"/>
          <w:sz w:val="22"/>
        </w:rPr>
        <w:t xml:space="preserve">Unethical conduct. In accordance with Iowa Code section </w:t>
      </w:r>
      <w:hyperlink r:id="rId6">
        <w:r>
          <w:rPr>
            <w:rStyle w:val="Hyperlink"/>
            <w:rFonts w:ascii="Times New Roman" w:hAnsi="Times New Roman"/>
            <w:b w:val="false"/>
            <w:i w:val="false"/>
            <w:color w:val="000000"/>
            <w:sz w:val="22"/>
          </w:rPr>
          <w:t>147.55(3)</w:t>
        </w:r>
      </w:hyperlink>
      <w:r>
        <w:rPr>
          <w:rFonts w:ascii="Times New Roman" w:hAnsi="Times New Roman"/>
          <w:b w:val="false"/>
          <w:i w:val="false"/>
          <w:color w:val="000000"/>
          <w:sz w:val="22"/>
        </w:rPr>
        <w:t>, behavior (e.g., acts, knowledge, and practices) that constitutes unethical conduct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Engaging in sexual activities or sexual contact with a consumer when there is a risk of exploitation or potential harm to the consumer or when the relationship could reasonably be expected to interfere with the interpreter’s or transliterator’s objectivity, competence, or 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decline or to withdraw from an interpreting or transliterating assignment when the interpreter or transliterator does not possess the professional skills and knowledge required for the specific interpreting or transliterating situation or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refrain from providing advice or personal opinions or aligning with one person over another in the course of one’s professional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Discriminating against a consumer on the basis of age, sex, race, creed, illness, marital status, political belief, religion, mental or physical disability or diagnosis, sexual orientation, or economic or social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inform a consumer when federal or state laws require disclosure of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avoid a conflict of interest when there is a risk of exploitation or potential harm to the consumer or when the relationship could reasonably be expected to interfere with the interpreter’s objectivity, competence, or effectiveness; or failure to disclose to a consumer an actual or perceived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present a professional appearance that is not visually distracting and is appropriate to the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by a temporary license holder to comply with the requirements of </w:t>
      </w:r>
      <w:hyperlink r:id="rId7">
        <w:r>
          <w:rPr>
            <w:rStyle w:val="Hyperlink"/>
            <w:rFonts w:ascii="Times New Roman" w:hAnsi="Times New Roman"/>
            <w:b w:val="false"/>
            <w:i w:val="false"/>
            <w:color w:val="000000"/>
            <w:sz w:val="22"/>
          </w:rPr>
          <w:t>481—subrule 961.2(6)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963.2(2)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154E</w:t>
        </w:r>
      </w:hyperlink>
      <w:r>
        <w:rPr>
          <w:rFonts w:ascii="Times New Roman" w:hAnsi="Times New Roman"/>
          <w:b w:val="false"/>
          <w:i w:val="false"/>
          <w:color w:val="000000"/>
          <w:sz w:val="22"/>
        </w:rPr>
        <w:t xml:space="preserve"> and</w:t>
      </w:r>
      <w:hyperlink r:id="rId10">
        <w:r>
          <w:rPr>
            <w:rStyle w:val="Hyperlink"/>
            <w:rFonts w:ascii="Times New Roman" w:hAnsi="Times New Roman"/>
            <w:b w:val="false"/>
            <w:i w:val="false"/>
            <w:color w:val="000000"/>
            <w:sz w:val="22"/>
          </w:rPr>
          <w:t> 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2/23/06, Notice 12/21/05—published 3/15/06, effective 4/19/06]</w:t>
      </w:r>
    </w:p>
    <w:p>
      <w:pPr>
        <w:spacing w:before="0" w:after="0"/>
        <w:ind w:left="120"/>
        <w:jc w:val="center"/>
      </w:pPr>
      <w:r>
        <w:rPr>
          <w:rFonts w:ascii="Times New Roman" w:hAnsi="Times New Roman"/>
          <w:b w:val="false"/>
          <w:i w:val="false"/>
          <w:color w:val="000000"/>
          <w:sz w:val="21"/>
        </w:rPr>
        <w:t>[Filed 2/20/07, Notice 12/20/06—published 3/14/07, effective 4/18/07]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8373B</w:t>
      </w:r>
      <w:r>
        <w:rPr>
          <w:rFonts w:ascii="Times New Roman" w:hAnsi="Times New Roman"/>
          <w:b w:val="false"/>
          <w:i w:val="false"/>
          <w:color w:val="000000"/>
          <w:sz w:val="21"/>
        </w:rPr>
        <w:t xml:space="preserve"> (Notice ARC 8111B, IAB 9/9/09)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9568B</w:t>
      </w:r>
      <w:r>
        <w:rPr>
          <w:rFonts w:ascii="Times New Roman" w:hAnsi="Times New Roman"/>
          <w:b w:val="false"/>
          <w:i w:val="false"/>
          <w:color w:val="000000"/>
          <w:sz w:val="21"/>
        </w:rPr>
        <w:t xml:space="preserve"> (Notice ARC 9428B, IAB 3/23/11)</w:t>
      </w:r>
      <w:r>
        <w:rPr>
          <w:rFonts w:ascii="Times New Roman" w:hAnsi="Times New Roman"/>
          <w:b w:val="false"/>
          <w:i w:val="false"/>
          <w:color w:val="000000"/>
          <w:sz w:val="21"/>
        </w:rPr>
        <w:t>, IAB 6/29/11, effective 8/3/11]</w:t>
      </w:r>
    </w:p>
    <w:p>
      <w:pPr>
        <w:spacing w:before="0" w:after="0"/>
        <w:ind w:left="120"/>
        <w:jc w:val="center"/>
      </w:pPr>
      <w:r>
        <w:rPr>
          <w:rFonts w:ascii="Times New Roman" w:hAnsi="Times New Roman"/>
          <w:b w:val="false"/>
          <w:i w:val="false"/>
          <w:color w:val="000000"/>
          <w:sz w:val="21"/>
        </w:rPr>
        <w:t>[Filed ARC 5773C</w:t>
      </w:r>
      <w:r>
        <w:rPr>
          <w:rFonts w:ascii="Times New Roman" w:hAnsi="Times New Roman"/>
          <w:b w:val="false"/>
          <w:i w:val="false"/>
          <w:color w:val="000000"/>
          <w:sz w:val="21"/>
        </w:rPr>
        <w:t xml:space="preserve"> (Notice ARC 5459C,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7831C</w:t>
      </w:r>
      <w:r>
        <w:rPr>
          <w:rFonts w:ascii="Times New Roman" w:hAnsi="Times New Roman"/>
          <w:b w:val="false"/>
          <w:i w:val="false"/>
          <w:color w:val="000000"/>
          <w:sz w:val="21"/>
        </w:rPr>
        <w:t xml:space="preserve"> (Notice ARC 7489C,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363.2.pdf" Type="http://schemas.openxmlformats.org/officeDocument/2006/relationships/hyperlink" Id="rId4"/>
    <Relationship TargetMode="External" Target="https://www.legis.iowa.gov/docs/iac/chapter/481.504.pdf"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ac/rule/481.961.2.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54E.pdf" Type="http://schemas.openxmlformats.org/officeDocument/2006/relationships/hyperlink" Id="rId9"/>
    <Relationship TargetMode="External" Target="https://www.legis.iowa.gov/docs/ico/chapter/272C.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