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962</w:t>
      </w:r>
    </w:p>
    <w:p>
      <w:pPr>
        <w:spacing w:before="0" w:after="0"/>
        <w:ind w:left="120"/>
        <w:jc w:val="center"/>
      </w:pPr>
      <w:r>
        <w:rPr>
          <w:rFonts w:ascii="Times New Roman" w:hAnsi="Times New Roman"/>
          <w:b w:val="false"/>
          <w:i w:val="false"/>
          <w:color w:val="000000"/>
          <w:sz w:val="21"/>
        </w:rPr>
        <w:t>CONTINUING EDUCATION FOR SIGN LANGUAGE INTERPRETERS AND TRANSLITERATORS</w:t>
      </w:r>
    </w:p>
    <w:p>
      <w:pPr>
        <w:spacing w:before="0" w:after="0"/>
        <w:ind w:left="120"/>
        <w:jc w:val="center"/>
      </w:pPr>
      <w:r>
        <w:rPr>
          <w:rFonts w:ascii="Times New Roman" w:hAnsi="Times New Roman"/>
          <w:b w:val="false"/>
          <w:i w:val="false"/>
          <w:color w:val="000000"/>
          <w:sz w:val="14"/>
        </w:rPr>
        <w:t>[Prior to 9/18/24, see Professional Licensure Division[645] Ch 362]</w:t>
      </w:r>
    </w:p>
    <w:p>
      <w:pPr>
        <w:spacing w:before="0" w:after="0"/>
        <w:ind w:left="120"/>
        <w:jc w:val="both"/>
      </w:pPr>
      <w:r>
        <w:rPr>
          <w:rFonts w:ascii="Times New Roman" w:hAnsi="Times New Roman"/>
          <w:b/>
          <w:i w:val="false"/>
          <w:color w:val="000000"/>
          <w:sz w:val="22"/>
        </w:rPr>
        <w:t>481—962.1</w:t>
      </w:r>
      <w:r>
        <w:rPr>
          <w:rFonts w:ascii="Times New Roman" w:hAnsi="Times New Roman"/>
          <w:b/>
          <w:i w:val="false"/>
          <w:color w:val="000000"/>
          <w:sz w:val="22"/>
        </w:rPr>
        <w:t xml:space="preserve">(154E,272C)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sign language interpreters and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sign language interpreter or transliterator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481—962.2</w:t>
      </w:r>
      <w:r>
        <w:rPr>
          <w:rFonts w:ascii="Times New Roman" w:hAnsi="Times New Roman"/>
          <w:b/>
          <w:i w:val="false"/>
          <w:color w:val="000000"/>
          <w:sz w:val="22"/>
        </w:rPr>
        <w:t xml:space="preserve">(154E,272C)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permanent licensees. The continuing education compliance period runs concurrently with each two-year renewal period beginning on July 1 of each odd-numbered year and ending on June 30 of the next odd-numbered year. Each person who is licensed to practice as a sign language interpreter or transliterator in this state will be required to complete a minimum of 40 hours of continuing education as specified in rule </w:t>
      </w:r>
      <w:hyperlink r:id="rId4">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for new permanent licensees. A person licensed for the first time will not be required to complete continuing education as a prerequisite for the first renewal of the license. Thereafter, the new licensee will complete the continuing education requirements as set forth in rule </w:t>
      </w:r>
      <w:hyperlink r:id="rId5">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 The licensee may use continuing education hours acquired anytime from the initial licensing until the second license renewal to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962.2(3)</w:t>
      </w:r>
      <w:r>
        <w:rPr>
          <w:rFonts w:ascii="Times New Roman" w:hAnsi="Times New Roman"/>
          <w:b w:val="false"/>
          <w:i w:val="false"/>
          <w:color w:val="000000"/>
          <w:sz w:val="22"/>
        </w:rPr>
        <w:t> </w:t>
      </w:r>
      <w:r>
        <w:rPr>
          <w:rFonts w:ascii="Times New Roman" w:hAnsi="Times New Roman"/>
          <w:b w:val="false"/>
          <w:i w:val="false"/>
          <w:color w:val="000000"/>
          <w:sz w:val="22"/>
        </w:rPr>
        <w:t>National Interpreters Certification (NIC) or Registry of Interpreters for the Deaf (RID) Certification. A licensee who provides proof of a current NIC or current RID Certification meets continuing education requirements for that biennium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temporary license holders. The continuing education compliance period runs concurrently with each two-year renewal period beginning on the date of initial licensure. Temporary license holders will be required to obtain 40 hours of continuing education as set forth in rule </w:t>
      </w:r>
      <w:hyperlink r:id="rId6">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 The temporary license holder may use only continuing education hours acquired during the current renewal period. Proof of continuing education hours acquired will be submitted with a temporary license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962.2(5)</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962.2(6)</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962.2(7)</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481—962.3</w:t>
      </w:r>
      <w:r>
        <w:rPr>
          <w:rFonts w:ascii="Times New Roman" w:hAnsi="Times New Roman"/>
          <w:b/>
          <w:i w:val="false"/>
          <w:color w:val="000000"/>
          <w:sz w:val="22"/>
        </w:rPr>
        <w:t xml:space="preserve">(154E,272C)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and training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and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will be obtained by attending programs relating to the practice of interpreting or transliterating for the deaf or hard of hearing and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including lectures, conferences, focused seminars, clinical and practical workshops, simultaneous live satellite broadcasts and teleconferences;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Obtained in content areas that conform to the content areas specified in the RID Certification Maintenance Program Standards and Criteria for Approved Sponsors, revised edition, June 2004, with the exception of the number of continuing education units (CEUs) required, which is defined in paragraph </w:t>
      </w:r>
      <w:r>
        <w:rPr>
          <w:rFonts w:ascii="Times New Roman" w:hAnsi="Times New Roman"/>
          <w:b w:val="false"/>
          <w:i w:val="false"/>
          <w:color w:val="000000"/>
          <w:sz w:val="22"/>
        </w:rPr>
        <w:t>962.3(2)</w:t>
      </w:r>
      <w:r>
        <w:rPr>
          <w:rFonts w:ascii="Times New Roman" w:hAnsi="Times New Roman"/>
          <w:b w:val="false"/>
          <w:i/>
          <w:color w:val="000000"/>
          <w:sz w:val="22"/>
        </w:rPr>
        <w:t>“b.”</w:t>
      </w:r>
      <w:r>
        <w:rPr>
          <w:rFonts w:ascii="Times New Roman" w:hAnsi="Times New Roman"/>
          <w:b w:val="false"/>
          <w:i w:val="false"/>
          <w:color w:val="000000"/>
          <w:sz w:val="22"/>
        </w:rPr>
        <w:t xml:space="preserve"> RID activity categories of independent study or teaching an academic class are not professional study categories that can be claimed for credit by temporary license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renewal period, licensees will obtain 40 hours (4 CEUs) of continuing education, including no less than 30 hours (3 CEUs) of professional studies. The remaining 10 hours (1 CEU) may be in either professional or general studies. The board will accept proof of a current NIC or current RID Certification in lieu of proof of the 40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equivalents for academic coursework per biennium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ind w:left="120"/>
        <w:jc w:val="both"/>
      </w:pPr>
      <w:r>
        <w:rPr>
          <w:rFonts w:ascii="Times New Roman" w:hAnsi="Times New Roman"/>
          <w:b w:val="false"/>
          <w:i w:val="false"/>
          <w:color w:val="000000"/>
          <w:sz w:val="22"/>
        </w:rPr>
        <w:t>1 CEU = 10 continuing education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8">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2/23/06, Notice 12/21/05—published 3/15/06, effective 4/19/06]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7643B</w:t>
      </w:r>
      <w:r>
        <w:rPr>
          <w:rFonts w:ascii="Times New Roman" w:hAnsi="Times New Roman"/>
          <w:b w:val="false"/>
          <w:i w:val="false"/>
          <w:color w:val="000000"/>
          <w:sz w:val="21"/>
        </w:rPr>
        <w:t xml:space="preserve"> (Notice ARC 7407B,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2744C</w:t>
      </w:r>
      <w:r>
        <w:rPr>
          <w:rFonts w:ascii="Times New Roman" w:hAnsi="Times New Roman"/>
          <w:b w:val="false"/>
          <w:i w:val="false"/>
          <w:color w:val="000000"/>
          <w:sz w:val="21"/>
        </w:rPr>
        <w:t xml:space="preserve"> (Notice ARC 2597C,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7830C</w:t>
      </w:r>
      <w:r>
        <w:rPr>
          <w:rFonts w:ascii="Times New Roman" w:hAnsi="Times New Roman"/>
          <w:b w:val="false"/>
          <w:i w:val="false"/>
          <w:color w:val="000000"/>
          <w:sz w:val="21"/>
        </w:rPr>
        <w:t xml:space="preserve"> (Notice ARC 7488C,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962.3.pdf" Type="http://schemas.openxmlformats.org/officeDocument/2006/relationships/hyperlink" Id="rId4"/>
    <Relationship TargetMode="External" Target="https://www.legis.iowa.gov/docs/iac/rule/481.962.3.pdf" Type="http://schemas.openxmlformats.org/officeDocument/2006/relationships/hyperlink" Id="rId5"/>
    <Relationship TargetMode="External" Target="https://www.legis.iowa.gov/docs/iac/rule/481.962.3.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54E.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