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943</w:t>
      </w:r>
    </w:p>
    <w:p>
      <w:pPr>
        <w:spacing w:before="0" w:after="0"/>
        <w:ind w:left="120"/>
        <w:jc w:val="center"/>
      </w:pPr>
      <w:r>
        <w:rPr>
          <w:rFonts w:ascii="Times New Roman" w:hAnsi="Times New Roman"/>
          <w:b w:val="false"/>
          <w:i w:val="false"/>
          <w:color w:val="000000"/>
          <w:sz w:val="21"/>
        </w:rPr>
        <w:t>INFECTION CONTROL FOR ESTABLISHMENTS AND SCHOOLS OF BARBERING AND COSMETOLOGY ARTS AND SCIENCES</w:t>
      </w:r>
    </w:p>
    <w:p>
      <w:pPr>
        <w:spacing w:before="0" w:after="0"/>
        <w:ind w:left="120"/>
        <w:jc w:val="center"/>
      </w:pPr>
      <w:r>
        <w:rPr>
          <w:rFonts w:ascii="Times New Roman" w:hAnsi="Times New Roman"/>
          <w:b w:val="false"/>
          <w:i w:val="false"/>
          <w:color w:val="000000"/>
          <w:sz w:val="14"/>
        </w:rPr>
        <w:t>[Prior to 7/29/87, Health Department[470], Chs 149, 150]</w:t>
      </w:r>
    </w:p>
    <w:p>
      <w:pPr>
        <w:spacing w:before="0" w:after="0"/>
        <w:ind w:left="120"/>
        <w:jc w:val="center"/>
      </w:pPr>
      <w:r>
        <w:rPr>
          <w:rFonts w:ascii="Times New Roman" w:hAnsi="Times New Roman"/>
          <w:b w:val="false"/>
          <w:i w:val="false"/>
          <w:color w:val="000000"/>
          <w:sz w:val="14"/>
        </w:rPr>
        <w:t>[Prior to IAC 12/23/92, see 645—Chapters 60, 61]</w:t>
      </w:r>
    </w:p>
    <w:p>
      <w:pPr>
        <w:spacing w:before="0" w:after="0"/>
        <w:ind w:left="120"/>
        <w:jc w:val="center"/>
      </w:pPr>
      <w:r>
        <w:rPr>
          <w:rFonts w:ascii="Times New Roman" w:hAnsi="Times New Roman"/>
          <w:b w:val="false"/>
          <w:i w:val="false"/>
          <w:color w:val="000000"/>
          <w:sz w:val="14"/>
        </w:rPr>
        <w:t>[Prior to 9/18/24, see Professional Licensure Division[645] Ch 63]</w:t>
      </w:r>
    </w:p>
    <w:p>
      <w:pPr>
        <w:spacing w:before="0" w:after="0"/>
        <w:ind w:left="120"/>
        <w:jc w:val="both"/>
      </w:pPr>
      <w:r>
        <w:rPr>
          <w:rFonts w:ascii="Times New Roman" w:hAnsi="Times New Roman"/>
          <w:b/>
          <w:i w:val="false"/>
          <w:color w:val="000000"/>
          <w:sz w:val="22"/>
        </w:rPr>
        <w:t>481—943.1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“Cleaning” </w:t>
      </w:r>
      <w:r>
        <w:rPr>
          <w:rFonts w:ascii="Times New Roman" w:hAnsi="Times New Roman"/>
          <w:b w:val="false"/>
          <w:i w:val="false"/>
          <w:color w:val="000000"/>
          <w:sz w:val="22"/>
        </w:rPr>
        <w:t>means removing visible debris and disposable parts, washing the surface or item with water and soap or detergent, rinsing the surface or item thoroughly and drying the surface or item. Cleaning must occur before disinfection can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“Disinfectant” </w:t>
      </w:r>
      <w:r>
        <w:rPr>
          <w:rFonts w:ascii="Times New Roman" w:hAnsi="Times New Roman"/>
          <w:b w:val="false"/>
          <w:i w:val="false"/>
          <w:color w:val="000000"/>
          <w:sz w:val="22"/>
        </w:rPr>
        <w:t>means a U.S. Environmental Protection Agency (EPA)-registered bactericidal, virucidal, fungicidal, pseudomonacidal chemical solution, spray or wipe that is effective against HIV-1 and human hepatitis B virus and is intended to destroy or irreversibly inactivate specific viruses, bacteria, or pathogenic fungi, but not necessarily their spores, on nonporous items and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r>
        <w:rPr>
          <w:rFonts w:ascii="Times New Roman" w:hAnsi="Times New Roman"/>
          <w:b w:val="false"/>
          <w:i w:val="false"/>
          <w:color w:val="000000"/>
          <w:sz w:val="22"/>
        </w:rPr>
        <w:t>means the procedure that kills pathogenic microorganisms, but not necessarily their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“Dispensary” </w:t>
      </w:r>
      <w:r>
        <w:rPr>
          <w:rFonts w:ascii="Times New Roman" w:hAnsi="Times New Roman"/>
          <w:b w:val="false"/>
          <w:i w:val="false"/>
          <w:color w:val="000000"/>
          <w:sz w:val="22"/>
        </w:rPr>
        <w:t>means a separate physical location or area in an establishment or school to be used for the storing and dispensing of supplies and cleaning and disinfecting of all implements. The dispensary is where products, chemicals and disinfectants are prepared, measured, mixed, portioned, and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“Germicide” </w:t>
      </w:r>
      <w:r>
        <w:rPr>
          <w:rFonts w:ascii="Times New Roman" w:hAnsi="Times New Roman"/>
          <w:b w:val="false"/>
          <w:i w:val="false"/>
          <w:color w:val="000000"/>
          <w:sz w:val="22"/>
        </w:rPr>
        <w:t>means an agent that destroys germs.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“Nonporous” </w:t>
      </w:r>
      <w:r>
        <w:rPr>
          <w:rFonts w:ascii="Times New Roman" w:hAnsi="Times New Roman"/>
          <w:b w:val="false"/>
          <w:i w:val="false"/>
          <w:color w:val="000000"/>
          <w:sz w:val="22"/>
        </w:rPr>
        <w:t>means an item that lacks minute openings or crevices that allow air, water and bacteria to enter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“Porous” </w:t>
      </w:r>
      <w:r>
        <w:rPr>
          <w:rFonts w:ascii="Times New Roman" w:hAnsi="Times New Roman"/>
          <w:b w:val="false"/>
          <w:i w:val="false"/>
          <w:color w:val="000000"/>
          <w:sz w:val="22"/>
        </w:rPr>
        <w:t>means an item that contains minute openings or crevices that allow air, water and bacteria to enter the item, such as untreated wood, paper and cardboard.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 school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 xml:space="preserve">means any person regulated by Iowa Code chapter </w:t>
      </w:r>
      <w:hyperlink r:id="rId4">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including but not limited to establishment owners, licensees, students, blow-dry stylists and apprentices.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means the procedure that kills all microorganisms, including their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“Universal precautions” </w:t>
      </w:r>
      <w:r>
        <w:rPr>
          <w:rFonts w:ascii="Times New Roman" w:hAnsi="Times New Roman"/>
          <w:b w:val="false"/>
          <w:i w:val="false"/>
          <w:color w:val="000000"/>
          <w:sz w:val="22"/>
        </w:rPr>
        <w:t>means practices consistently used to prevent exposure to blood-borne pathogens and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“Wash hands” </w:t>
      </w:r>
      <w:r>
        <w:rPr>
          <w:rFonts w:ascii="Times New Roman" w:hAnsi="Times New Roman"/>
          <w:b w:val="false"/>
          <w:i w:val="false"/>
          <w:color w:val="000000"/>
          <w:sz w:val="22"/>
        </w:rPr>
        <w:t>means the process of thoroughly washing hands and the exposed portions of the arms up to the elbow with soap or detergent and water and drying with a single-use towel or air dryer. Bar soap shall not be set out for common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w:t>
      </w:r>
      <w:r>
        <w:rPr>
          <w:rFonts w:ascii="Times New Roman" w:hAnsi="Times New Roman"/>
          <w:b/>
          <w:i w:val="false"/>
          <w:color w:val="000000"/>
          <w:sz w:val="22"/>
        </w:rPr>
        <w:t xml:space="preserve">(157) </w:t>
      </w:r>
      <w:r>
        <w:rPr>
          <w:rFonts w:ascii="Times New Roman" w:hAnsi="Times New Roman"/>
          <w:b/>
          <w:i w:val="false"/>
          <w:color w:val="000000"/>
          <w:sz w:val="22"/>
        </w:rPr>
        <w:t xml:space="preserve">Infection control rules and inspection report. </w:t>
      </w:r>
      <w:r>
        <w:rPr>
          <w:rFonts w:ascii="Times New Roman" w:hAnsi="Times New Roman"/>
          <w:b w:val="false"/>
          <w:i w:val="false"/>
          <w:color w:val="000000"/>
          <w:sz w:val="22"/>
        </w:rPr>
        <w:t xml:space="preserve">Upon request, the licensee shall make Chapter </w:t>
      </w:r>
      <w:r>
        <w:rPr>
          <w:rFonts w:ascii="Times New Roman" w:hAnsi="Times New Roman"/>
          <w:b w:val="false"/>
          <w:i w:val="false"/>
          <w:color w:val="000000"/>
          <w:sz w:val="22"/>
        </w:rPr>
        <w:t>943</w:t>
      </w:r>
      <w:r>
        <w:rPr>
          <w:rFonts w:ascii="Times New Roman" w:hAnsi="Times New Roman"/>
          <w:b w:val="false"/>
          <w:i w:val="false"/>
          <w:color w:val="000000"/>
          <w:sz w:val="22"/>
        </w:rPr>
        <w:t>, “Infection Control for Establishments and Schools of Barbering and Cosmetology Arts and Sciences,” and the most recent inspection report available to the board, agents of the board, all persons employed or studying in an establishment or school, and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481—943.3</w:t>
      </w:r>
      <w:r>
        <w:rPr>
          <w:rFonts w:ascii="Times New Roman" w:hAnsi="Times New Roman"/>
          <w:b/>
          <w:i w:val="false"/>
          <w:color w:val="000000"/>
          <w:sz w:val="22"/>
        </w:rPr>
        <w:t xml:space="preserve">(157) </w:t>
      </w:r>
      <w:r>
        <w:rPr>
          <w:rFonts w:ascii="Times New Roman" w:hAnsi="Times New Roman"/>
          <w:b/>
          <w:i w:val="false"/>
          <w:color w:val="000000"/>
          <w:sz w:val="22"/>
        </w:rPr>
        <w:t xml:space="preserve">Responsibilities of establishment owners. </w:t>
      </w:r>
      <w:r>
        <w:rPr>
          <w:rFonts w:ascii="Times New Roman" w:hAnsi="Times New Roman"/>
          <w:b w:val="false"/>
          <w:i w:val="false"/>
          <w:color w:val="000000"/>
          <w:sz w:val="22"/>
        </w:rPr>
        <w:t>Each establishment owner shall ensure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establishment owner holds a current and active establishment license issued by the board that reflects the current name, address and owner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Individuals employed for barbering and cosmetology arts and sciences services or other licensees working in the establishment hold a current and active license issued by the board of barbering and cosmetology arts and sciences;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Licensees employed by the establishment or other licensees and service providers working in the establishment do not exceed their scope of practice;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 renewal cards are properly displayed in the front entrance area at eye level. No license that has expired or become invalid for any reason shall be displayed in connection with the practices of the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481—943.4</w:t>
      </w:r>
      <w:r>
        <w:rPr>
          <w:rFonts w:ascii="Times New Roman" w:hAnsi="Times New Roman"/>
          <w:b/>
          <w:i w:val="false"/>
          <w:color w:val="000000"/>
          <w:sz w:val="22"/>
        </w:rPr>
        <w:t xml:space="preserve">(157) </w:t>
      </w:r>
      <w:r>
        <w:rPr>
          <w:rFonts w:ascii="Times New Roman" w:hAnsi="Times New Roman"/>
          <w:b/>
          <w:i w:val="false"/>
          <w:color w:val="000000"/>
          <w:sz w:val="22"/>
        </w:rPr>
        <w:t xml:space="preserve">Responsibilities of licensees. </w:t>
      </w:r>
      <w:r>
        <w:rPr>
          <w:rFonts w:ascii="Times New Roman" w:hAnsi="Times New Roman"/>
          <w:b w:val="false"/>
          <w:i w:val="false"/>
          <w:color w:val="000000"/>
          <w:sz w:val="22"/>
        </w:rPr>
        <w:t>Licensees are responsible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Their own station areas;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Holding a current and active license issued by the board of barbering and cosmetology arts and sciences;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Ensuring that they do not exceed their scope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481—943.5</w:t>
      </w:r>
      <w:r>
        <w:rPr>
          <w:rFonts w:ascii="Times New Roman" w:hAnsi="Times New Roman"/>
          <w:b/>
          <w:i w:val="false"/>
          <w:color w:val="000000"/>
          <w:sz w:val="22"/>
        </w:rPr>
        <w:t xml:space="preserve">(157) </w:t>
      </w:r>
      <w:r>
        <w:rPr>
          <w:rFonts w:ascii="Times New Roman" w:hAnsi="Times New Roman"/>
          <w:b/>
          <w:i w:val="false"/>
          <w:color w:val="000000"/>
          <w:sz w:val="22"/>
        </w:rPr>
        <w:t xml:space="preserve">Joint responsibility. </w:t>
      </w:r>
      <w:r>
        <w:rPr>
          <w:rFonts w:ascii="Times New Roman" w:hAnsi="Times New Roman"/>
          <w:b w:val="false"/>
          <w:i w:val="false"/>
          <w:color w:val="000000"/>
          <w:sz w:val="22"/>
        </w:rPr>
        <w:t>Establishment owners and licensees are jointly responsible for all service and common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481—943.6</w:t>
      </w:r>
      <w:r>
        <w:rPr>
          <w:rFonts w:ascii="Times New Roman" w:hAnsi="Times New Roman"/>
          <w:b/>
          <w:i w:val="false"/>
          <w:color w:val="000000"/>
          <w:sz w:val="22"/>
        </w:rPr>
        <w:t xml:space="preserve">(157) </w:t>
      </w:r>
      <w:r>
        <w:rPr>
          <w:rFonts w:ascii="Times New Roman" w:hAnsi="Times New Roman"/>
          <w:b/>
          <w:i w:val="false"/>
          <w:color w:val="000000"/>
          <w:sz w:val="22"/>
        </w:rPr>
        <w:t xml:space="preserve">Building standards. </w:t>
      </w:r>
      <w:r>
        <w:rPr>
          <w:rFonts w:ascii="Times New Roman" w:hAnsi="Times New Roman"/>
          <w:b w:val="false"/>
          <w:i w:val="false"/>
          <w:color w:val="000000"/>
          <w:sz w:val="22"/>
        </w:rPr>
        <w:t>Establishments and schools shall have and maintain: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service area that is equipped with exhaust fans or air filtration equipment that is of sufficient capacity to be capable of removing chemical fumes from the air;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dispensary;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reception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Hot and cold running water and clean lavatory facilities;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Safe drinking water;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Hand-washing facilities;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Adequate lighting;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Work surfaces that are easily cleanable;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complete first-aid kit in a readily accessible location on the premises. At a minimum, the first-aid kit must include adhesive dressings, gauze and antiseptic, tape, triple antibiotics, eyewash, and gloves.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481—943.7</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Establishments in residential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943.7(1)</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located in a residential building shall comply with all requirements in rule </w:t>
      </w:r>
      <w:hyperlink r:id="rId5">
        <w:r>
          <w:rPr>
            <w:rStyle w:val="Hyperlink"/>
            <w:rFonts w:ascii="Times New Roman" w:hAnsi="Times New Roman"/>
            <w:b w:val="false"/>
            <w:i w:val="false"/>
            <w:color w:val="000000"/>
            <w:sz w:val="22"/>
          </w:rPr>
          <w:t>481—943.5</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943.7(2)</w:t>
      </w:r>
      <w:r>
        <w:rPr>
          <w:rFonts w:ascii="Times New Roman" w:hAnsi="Times New Roman"/>
          <w:b w:val="false"/>
          <w:i w:val="false"/>
          <w:color w:val="000000"/>
          <w:sz w:val="22"/>
        </w:rPr>
        <w:t> </w:t>
      </w:r>
      <w:r>
        <w:rPr>
          <w:rFonts w:ascii="Times New Roman" w:hAnsi="Times New Roman"/>
          <w:b w:val="false"/>
          <w:i w:val="false"/>
          <w:color w:val="000000"/>
          <w:sz w:val="22"/>
        </w:rPr>
        <w:t>A separate entrance shall be maintained for establishment rooms in a residential building. An exception is that an entrance may allow passage through a nonliving area of the residence, i.e., hall, garage or stairway. Any door leading directly from the licensed establishment to any portion of the living area of the residence shall be closed at all times during business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481—943.8</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Establishments adjacent to other businesses. </w:t>
      </w:r>
      <w:r>
        <w:rPr>
          <w:rFonts w:ascii="Times New Roman" w:hAnsi="Times New Roman"/>
          <w:b w:val="false"/>
          <w:i w:val="false"/>
          <w:color w:val="000000"/>
          <w:sz w:val="22"/>
        </w:rPr>
        <w:t>An establishment operated adjacent to any other business shall be separated by at least a partial partition. When the establishment is operated immediately adjacent to a business where food is handled, the business shall be entirely separated, and any doors between the establishment and the business shall be rendered unusable except in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481—943.9</w:t>
      </w:r>
      <w:r>
        <w:rPr>
          <w:rFonts w:ascii="Times New Roman" w:hAnsi="Times New Roman"/>
          <w:b/>
          <w:i w:val="false"/>
          <w:color w:val="000000"/>
          <w:sz w:val="22"/>
        </w:rPr>
        <w:t xml:space="preserve">(157) </w:t>
      </w:r>
      <w:r>
        <w:rPr>
          <w:rFonts w:ascii="Times New Roman" w:hAnsi="Times New Roman"/>
          <w:b/>
          <w:i w:val="false"/>
          <w:color w:val="000000"/>
          <w:sz w:val="22"/>
        </w:rPr>
        <w:t xml:space="preserve">Smoking. </w:t>
      </w:r>
      <w:r>
        <w:rPr>
          <w:rFonts w:ascii="Times New Roman" w:hAnsi="Times New Roman"/>
          <w:b w:val="false"/>
          <w:i w:val="false"/>
          <w:color w:val="000000"/>
          <w:sz w:val="22"/>
        </w:rPr>
        <w:t xml:space="preserve">All establishments licensed by the board shall comply with the smokefree air Act found in Iowa Code chapter </w:t>
      </w:r>
      <w:hyperlink r:id="rId6">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481—943.10</w:t>
      </w:r>
      <w:r>
        <w:rPr>
          <w:rFonts w:ascii="Times New Roman" w:hAnsi="Times New Roman"/>
          <w:b/>
          <w:i w:val="false"/>
          <w:color w:val="000000"/>
          <w:sz w:val="22"/>
        </w:rPr>
        <w:t xml:space="preserve">(157) </w:t>
      </w:r>
      <w:r>
        <w:rPr>
          <w:rFonts w:ascii="Times New Roman" w:hAnsi="Times New Roman"/>
          <w:b/>
          <w:i w:val="false"/>
          <w:color w:val="000000"/>
          <w:sz w:val="22"/>
        </w:rPr>
        <w:t xml:space="preserve">Personal cleanliness. </w:t>
      </w:r>
      <w:r>
        <w:rPr>
          <w:rFonts w:ascii="Times New Roman" w:hAnsi="Times New Roman"/>
          <w:b w:val="false"/>
          <w:i w:val="false"/>
          <w:color w:val="000000"/>
          <w:sz w:val="22"/>
        </w:rPr>
        <w:t>Any service provider engaged in serving the public shall be neat and clean in person and attire.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481—943.11</w:t>
      </w:r>
      <w:r>
        <w:rPr>
          <w:rFonts w:ascii="Times New Roman" w:hAnsi="Times New Roman"/>
          <w:b/>
          <w:i w:val="false"/>
          <w:color w:val="000000"/>
          <w:sz w:val="22"/>
        </w:rPr>
        <w:t xml:space="preserve">(157) </w:t>
      </w:r>
      <w:r>
        <w:rPr>
          <w:rFonts w:ascii="Times New Roman" w:hAnsi="Times New Roman"/>
          <w:b/>
          <w:i w:val="false"/>
          <w:color w:val="000000"/>
          <w:sz w:val="22"/>
        </w:rPr>
        <w:t xml:space="preserve">Universal precautions. </w:t>
      </w:r>
      <w:r>
        <w:rPr>
          <w:rFonts w:ascii="Times New Roman" w:hAnsi="Times New Roman"/>
          <w:b w:val="false"/>
          <w:i w:val="false"/>
          <w:color w:val="000000"/>
          <w:sz w:val="22"/>
        </w:rPr>
        <w:t>Any service provider shall practice universal precautions consistently by observing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943.11(1)</w:t>
      </w:r>
      <w:r>
        <w:rPr>
          <w:rFonts w:ascii="Times New Roman" w:hAnsi="Times New Roman"/>
          <w:b w:val="false"/>
          <w:i w:val="false"/>
          <w:color w:val="000000"/>
          <w:sz w:val="22"/>
        </w:rPr>
        <w:t> </w:t>
      </w:r>
      <w:r>
        <w:rPr>
          <w:rFonts w:ascii="Times New Roman" w:hAnsi="Times New Roman"/>
          <w:b w:val="false"/>
          <w:i w:val="false"/>
          <w:color w:val="000000"/>
          <w:sz w:val="22"/>
        </w:rPr>
        <w:t>Thoroughly wash hands after smoking, vaping, eating, using the restroom, etc., and before providing services to each client. Hand sanitizers or gloves are not an acceptable substitute for hand washing.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943.11(2)</w:t>
      </w:r>
      <w:r>
        <w:rPr>
          <w:rFonts w:ascii="Times New Roman" w:hAnsi="Times New Roman"/>
          <w:b w:val="false"/>
          <w:i w:val="false"/>
          <w:color w:val="000000"/>
          <w:sz w:val="22"/>
        </w:rPr>
        <w:t> </w:t>
      </w:r>
      <w:r>
        <w:rPr>
          <w:rFonts w:ascii="Times New Roman" w:hAnsi="Times New Roman"/>
          <w:b w:val="false"/>
          <w:i w:val="false"/>
          <w:color w:val="000000"/>
          <w:sz w:val="22"/>
        </w:rPr>
        <w:t>Maintain biohazard sharps container for disposing of used needles, razor blades and other sharp instruments in establishments. These containers shall be located as close to the use area as is practical. These containers shall not be filled above the designated “fill line” and shall be disposed of in accordance with guidelines issued by the Centers for Disease Control and Prevention,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943.11(3)</w:t>
      </w:r>
      <w:r>
        <w:rPr>
          <w:rFonts w:ascii="Times New Roman" w:hAnsi="Times New Roman"/>
          <w:b w:val="false"/>
          <w:i w:val="false"/>
          <w:color w:val="000000"/>
          <w:sz w:val="22"/>
        </w:rPr>
        <w:t> </w:t>
      </w:r>
      <w:r>
        <w:rPr>
          <w:rFonts w:ascii="Times New Roman" w:hAnsi="Times New Roman"/>
          <w:b w:val="false"/>
          <w:i w:val="false"/>
          <w:color w:val="000000"/>
          <w:sz w:val="22"/>
        </w:rPr>
        <w:t>Wear disposable gloves or may refuse to provide the service when encountering clients with open sores. Gloves shall only be used on a single client and shall be disposed of after the client’s service. Any time gloves are used during a service, wash hands both before gloves are worn and after they are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943.11(4)</w:t>
      </w:r>
      <w:r>
        <w:rPr>
          <w:rFonts w:ascii="Times New Roman" w:hAnsi="Times New Roman"/>
          <w:b w:val="false"/>
          <w:i w:val="false"/>
          <w:color w:val="000000"/>
          <w:sz w:val="22"/>
        </w:rPr>
        <w:t> </w:t>
      </w:r>
      <w:r>
        <w:rPr>
          <w:rFonts w:ascii="Times New Roman" w:hAnsi="Times New Roman"/>
          <w:b w:val="false"/>
          <w:i w:val="false"/>
          <w:color w:val="000000"/>
          <w:sz w:val="22"/>
        </w:rPr>
        <w:t>Refrain from all direct client care and from handling client-care equipment if the service provider has open sores that cannot be effectively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943.11(5)</w:t>
      </w:r>
      <w:r>
        <w:rPr>
          <w:rFonts w:ascii="Times New Roman" w:hAnsi="Times New Roman"/>
          <w:b w:val="false"/>
          <w:i w:val="false"/>
          <w:color w:val="000000"/>
          <w:sz w:val="22"/>
        </w:rPr>
        <w:t> </w:t>
      </w:r>
      <w:r>
        <w:rPr>
          <w:rFonts w:ascii="Times New Roman" w:hAnsi="Times New Roman"/>
          <w:b w:val="false"/>
          <w:i w:val="false"/>
          <w:color w:val="000000"/>
          <w:sz w:val="22"/>
        </w:rPr>
        <w:t xml:space="preserve">Clean and disinfect instruments and implements pursuant to rule </w:t>
      </w:r>
      <w:hyperlink r:id="rId7">
        <w:r>
          <w:rPr>
            <w:rStyle w:val="Hyperlink"/>
            <w:rFonts w:ascii="Times New Roman" w:hAnsi="Times New Roman"/>
            <w:b w:val="false"/>
            <w:i w:val="false"/>
            <w:color w:val="000000"/>
            <w:sz w:val="22"/>
          </w:rPr>
          <w:t>481—943.13</w:t>
        </w:r>
      </w:hyperlink>
      <w:r>
        <w:rPr>
          <w:rFonts w:ascii="Times New Roman" w:hAnsi="Times New Roman"/>
          <w:b w:val="false"/>
          <w:i w:val="false"/>
          <w:color w:val="000000"/>
          <w:sz w:val="22"/>
        </w:rPr>
        <w:t xml:space="preserve">(157).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943.11(6)</w:t>
      </w:r>
      <w:r>
        <w:rPr>
          <w:rFonts w:ascii="Times New Roman" w:hAnsi="Times New Roman"/>
          <w:b w:val="false"/>
          <w:i w:val="false"/>
          <w:color w:val="000000"/>
          <w:sz w:val="22"/>
        </w:rPr>
        <w:t> </w:t>
      </w:r>
      <w:r>
        <w:rPr>
          <w:rFonts w:ascii="Times New Roman" w:hAnsi="Times New Roman"/>
          <w:b w:val="false"/>
          <w:i w:val="false"/>
          <w:color w:val="000000"/>
          <w:sz w:val="22"/>
        </w:rPr>
        <w:t>Place instruments and supplies that have been used on a client or soiled in any manner in the proper receptacles clearly labeled “used.” All used items shall be kept separate from items that are disinfected and ready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943.11(7)</w:t>
      </w:r>
      <w:r>
        <w:rPr>
          <w:rFonts w:ascii="Times New Roman" w:hAnsi="Times New Roman"/>
          <w:b w:val="false"/>
          <w:i w:val="false"/>
          <w:color w:val="000000"/>
          <w:sz w:val="22"/>
        </w:rPr>
        <w:t> </w:t>
      </w:r>
      <w:r>
        <w:rPr>
          <w:rFonts w:ascii="Times New Roman" w:hAnsi="Times New Roman"/>
          <w:b w:val="false"/>
          <w:i w:val="false"/>
          <w:color w:val="000000"/>
          <w:sz w:val="22"/>
        </w:rPr>
        <w:t>Store disinfectant solution in the dispensary.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481—943.12</w:t>
      </w:r>
      <w:r>
        <w:rPr>
          <w:rFonts w:ascii="Times New Roman" w:hAnsi="Times New Roman"/>
          <w:b/>
          <w:i w:val="false"/>
          <w:color w:val="000000"/>
          <w:sz w:val="22"/>
        </w:rPr>
        <w:t xml:space="preserve">(157) </w:t>
      </w:r>
      <w:r>
        <w:rPr>
          <w:rFonts w:ascii="Times New Roman" w:hAnsi="Times New Roman"/>
          <w:b/>
          <w:i w:val="false"/>
          <w:color w:val="000000"/>
          <w:sz w:val="22"/>
        </w:rPr>
        <w:t xml:space="preserve">Blood exposure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943.12(1)</w:t>
      </w:r>
      <w:r>
        <w:rPr>
          <w:rFonts w:ascii="Times New Roman" w:hAnsi="Times New Roman"/>
          <w:b w:val="false"/>
          <w:i w:val="false"/>
          <w:color w:val="000000"/>
          <w:sz w:val="22"/>
        </w:rPr>
        <w:t> </w:t>
      </w:r>
      <w:r>
        <w:rPr>
          <w:rFonts w:ascii="Times New Roman" w:hAnsi="Times New Roman"/>
          <w:b w:val="false"/>
          <w:i w:val="false"/>
          <w:color w:val="000000"/>
          <w:sz w:val="22"/>
        </w:rPr>
        <w:t>If a service provider injures oneself, the following steps shall be taken before returning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the injured area by washing the area with soap and water. Use antiseptic or ointment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mucous membrane exposure, wash or rinse the affected area with sufficient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 the injury with the appropriate 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Clean the client and station as necessary. First, remove all visible debris and then clean the client with an antiseptic that is appropriate for the skin and clean the station with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Bag any blood-soiled porous articles and dispose of articles in the trash.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Wash and disinfect all nonporous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Wash hands before returning 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943.12(2)</w:t>
      </w:r>
      <w:r>
        <w:rPr>
          <w:rFonts w:ascii="Times New Roman" w:hAnsi="Times New Roman"/>
          <w:b w:val="false"/>
          <w:i w:val="false"/>
          <w:color w:val="000000"/>
          <w:sz w:val="22"/>
        </w:rPr>
        <w:t> </w:t>
      </w:r>
      <w:r>
        <w:rPr>
          <w:rFonts w:ascii="Times New Roman" w:hAnsi="Times New Roman"/>
          <w:b w:val="false"/>
          <w:i w:val="false"/>
          <w:color w:val="000000"/>
          <w:sz w:val="22"/>
        </w:rPr>
        <w:t>If a client injury occurs, the service provider shall take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Glove hands.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injured area and use antiseptic or ointment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 the injury with the appropriate dressing to prevent further blood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Clean station by removing all visible debris and using disinfectant that is appropriate for the soiled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Bag any blood-soiled porous articles and dispose of articles in the trash.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Wash and disinfect all nonporous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Wash hands before returning to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481—943.13</w:t>
      </w:r>
      <w:r>
        <w:rPr>
          <w:rFonts w:ascii="Times New Roman" w:hAnsi="Times New Roman"/>
          <w:b/>
          <w:i w:val="false"/>
          <w:color w:val="000000"/>
          <w:sz w:val="22"/>
        </w:rPr>
        <w:t xml:space="preserve">(157) </w:t>
      </w:r>
      <w:r>
        <w:rPr>
          <w:rFonts w:ascii="Times New Roman" w:hAnsi="Times New Roman"/>
          <w:b/>
          <w:i w:val="false"/>
          <w:color w:val="000000"/>
          <w:sz w:val="22"/>
        </w:rPr>
        <w:t xml:space="preserve">Disinfecting and sterilizing instruments and equipment. </w:t>
      </w:r>
      <w:r>
        <w:rPr>
          <w:rFonts w:ascii="Times New Roman" w:hAnsi="Times New Roman"/>
          <w:b w:val="false"/>
          <w:i w:val="false"/>
          <w:color w:val="000000"/>
          <w:sz w:val="22"/>
        </w:rPr>
        <w:t>All nonporous tools and implements must be either disinfected or sterilized according to the requirements of this rule before use upon a client in schools and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943.13(1)</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Nonporous tools and implements.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Immersion method. After each use, all immersible nonporous tools and implements shall be disinfected by cleaning the tools and implements followed by complete immersion in a disinfectant. Disinfectant solutions shall be mixed according to manufacturer label instructions. The manufacturer’s listed contact time for effectively eliminating all pathogens shall be adhered to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Nonimmersion method. After each use, any nonporous item that cannot be immersed in a disinfectant shall be cleaned with soap or detergent and water to remove all organic material and then sprayed or wiped with disinfectant. Minimum disinfectant contact time as listed on the manufacturer’s label shall be followed. Nonimmersible tools and implements include but are not limited to scissors, trimmers, clippers, handles of hair dryers and curling/flat irons.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Disinfected implements shall be stored in a disinfected, dry, covered container and shall be isolated from contaminants. Such container shall be disinfected at least once each week and whenever visibly dirty.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Disinfectant solutions shall be changed as instructed on the solution’s manufacturer label or whenever visibly dirty.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Electric file 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each use, all visible debris shall be removed from diamond, carbide, natural and metal bits by cleaning with either an ultrasonic cleaner or immersion of each bit in acetone for five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they are cleaned, diamond, carbide, natural and metal bits shall be disinfected by complete immersion in an appropriate disinfectant. Minimum disinfectant contact time as listed on the manufacturer’s label shall be followed.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943.13(2)</w:t>
      </w: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Ultraviolet (UV) light boxes are prohibited and are not an acceptable method of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Tools and implements may be sterilized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Steam sterilizer, registered and listed with the FDA and used according to the manufacturer’s instructions. If steam sterilization, or moist heat, is utilized, heat exposure shall be at a minimum of 121°C/250°F for at least 30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Dry heat sterilizer, registered and listed with the FDA and used according to the manufacturer’s instructions. If dry heat sterilization is utilized, heat exposure shall be at a minimum of 171°C/340°F for at least 60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Autoclave sterilization equipment, calibrated to ensure that it reaches the temperature required by the manufacturer’s instructions. If autoclave sterilization equipment is utilized, spore testing by a contracted independent laboratory shall be performed at least every 30 days. If a positive spore test is received, the autoclave may not be used until a negative spore test is received. The establishment must maintain a log of each autoclave use, all testing samples and results, and a maintenance log of all maintenance performed on the device. Maintenance shall be performed according to the manufacturer’s instructions. The establishment must have available for inspection the autoclave maintenance log for the most recent 12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sterilization with a hospital grade liquid which, if used, shall be used according to the directions on the label. When chemical sterilization is used, items shall be fully submerged for at least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Sterilization equipment shall be maintained in working order. The equipment shall be checked at least monthly and calibrated to ensure that it reaches the temperature required by the manufacturer’s instructions.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2600C</w:t>
      </w:r>
      <w:r>
        <w:rPr>
          <w:rFonts w:ascii="Times New Roman" w:hAnsi="Times New Roman"/>
          <w:b w:val="false"/>
          <w:i w:val="false"/>
          <w:color w:val="000000"/>
          <w:sz w:val="16"/>
        </w:rPr>
        <w:t>, IAB 6/22/16, effective 8/15/16</w:t>
      </w:r>
      <w:r>
        <w:rPr>
          <w:rFonts w:ascii="Times New Roman" w:hAnsi="Times New Roman"/>
          <w:b w:val="false"/>
          <w:i w:val="false"/>
          <w:color w:val="000000"/>
          <w:sz w:val="16"/>
        </w:rPr>
        <w:t xml:space="preserve">; </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481—943.14</w:t>
      </w:r>
      <w:r>
        <w:rPr>
          <w:rFonts w:ascii="Times New Roman" w:hAnsi="Times New Roman"/>
          <w:b/>
          <w:i w:val="false"/>
          <w:color w:val="000000"/>
          <w:sz w:val="22"/>
        </w:rPr>
        <w:t xml:space="preserve">(157) </w:t>
      </w:r>
      <w:r>
        <w:rPr>
          <w:rFonts w:ascii="Times New Roman" w:hAnsi="Times New Roman"/>
          <w:b/>
          <w:i w:val="false"/>
          <w:color w:val="000000"/>
          <w:sz w:val="22"/>
        </w:rPr>
        <w:t xml:space="preserve">Porous instruments and supplies that cannot be disinfected. </w:t>
      </w:r>
      <w:r>
        <w:rPr>
          <w:rFonts w:ascii="Times New Roman" w:hAnsi="Times New Roman"/>
          <w:b w:val="false"/>
          <w:i w:val="false"/>
          <w:color w:val="000000"/>
          <w:sz w:val="22"/>
        </w:rPr>
        <w:t>Porous instruments and supplies that come into direct contact with a client cannot be disinfected. These instruments and supplies include but are not limited to cotton pads, sponges, wooden applicators, emery boards, pumice stones, nail buffers, buffing bits, arbor or sanding bands, sleeves, toe separators and neck strips. These are single-use items and shall be disposed of in a waste receptacle immediately after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481—943.15</w:t>
      </w:r>
      <w:r>
        <w:rPr>
          <w:rFonts w:ascii="Times New Roman" w:hAnsi="Times New Roman"/>
          <w:b/>
          <w:i w:val="false"/>
          <w:color w:val="000000"/>
          <w:sz w:val="22"/>
        </w:rPr>
        <w:t xml:space="preserve">(157) </w:t>
      </w:r>
      <w:r>
        <w:rPr>
          <w:rFonts w:ascii="Times New Roman" w:hAnsi="Times New Roman"/>
          <w:b/>
          <w:i w:val="false"/>
          <w:color w:val="000000"/>
          <w:sz w:val="22"/>
        </w:rPr>
        <w:t xml:space="preserve">Infection control methods for creams, cosmetics and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943.15(1)</w:t>
      </w:r>
      <w:r>
        <w:rPr>
          <w:rFonts w:ascii="Times New Roman" w:hAnsi="Times New Roman"/>
          <w:b w:val="false"/>
          <w:i w:val="false"/>
          <w:color w:val="000000"/>
          <w:sz w:val="22"/>
        </w:rPr>
        <w:t> </w:t>
      </w:r>
      <w:r>
        <w:rPr>
          <w:rFonts w:ascii="Times New Roman" w:hAnsi="Times New Roman"/>
          <w:b w:val="false"/>
          <w:i w:val="false"/>
          <w:color w:val="000000"/>
          <w:sz w:val="22"/>
        </w:rPr>
        <w:t>Liquids, creams, waxes, powders and cosmetics used for clients must be kept in closed, labeled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943.15(2)</w:t>
      </w:r>
      <w:r>
        <w:rPr>
          <w:rFonts w:ascii="Times New Roman" w:hAnsi="Times New Roman"/>
          <w:b w:val="false"/>
          <w:i w:val="false"/>
          <w:color w:val="000000"/>
          <w:sz w:val="22"/>
        </w:rPr>
        <w:t> </w:t>
      </w:r>
      <w:r>
        <w:rPr>
          <w:rFonts w:ascii="Times New Roman" w:hAnsi="Times New Roman"/>
          <w:b w:val="false"/>
          <w:i w:val="false"/>
          <w:color w:val="000000"/>
          <w:sz w:val="22"/>
        </w:rPr>
        <w:t>All fluids, semifluids and powders must be dispensed with an applicator or from a shaker, dispenser pump, or spray-type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Applicators made of a washable, nonabsorbent material shall be cleaned and disinfected before being used on a client and shall only be dipped into the container one time before being cleaned and disinfected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Applicators made of wood shall be discarded after a single dip, which would be one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Roll-on wax products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 of a styptic pencil is strictly prohibited; its presence in the workplace shall be prima facie evidence of its use. Any material used to stop the flow of blood shall be used in liquid or powder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Neck dusters, brushes, and common shaving mugs and soap shall not be used in any establishment or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481—943.16</w:t>
      </w:r>
      <w:r>
        <w:rPr>
          <w:rFonts w:ascii="Times New Roman" w:hAnsi="Times New Roman"/>
          <w:b/>
          <w:i w:val="false"/>
          <w:color w:val="000000"/>
          <w:sz w:val="22"/>
        </w:rPr>
        <w:t xml:space="preserve">(157) </w:t>
      </w:r>
      <w:r>
        <w:rPr>
          <w:rFonts w:ascii="Times New Roman" w:hAnsi="Times New Roman"/>
          <w:b/>
          <w:i w:val="false"/>
          <w:color w:val="000000"/>
          <w:sz w:val="22"/>
        </w:rPr>
        <w:t xml:space="preserve">Events and services provided outside of a licensed establishment.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943.16(1)</w:t>
      </w:r>
      <w:r>
        <w:rPr>
          <w:rFonts w:ascii="Times New Roman" w:hAnsi="Times New Roman"/>
          <w:b w:val="false"/>
          <w:i w:val="false"/>
          <w:color w:val="000000"/>
          <w:sz w:val="22"/>
        </w:rPr>
        <w:t> </w:t>
      </w:r>
      <w:r>
        <w:rPr>
          <w:rFonts w:ascii="Times New Roman" w:hAnsi="Times New Roman"/>
          <w:b w:val="false"/>
          <w:i w:val="false"/>
          <w:color w:val="000000"/>
          <w:sz w:val="22"/>
        </w:rPr>
        <w:t>Licensed barber and cosmetologists, nail technicians, and estheticians may provide limited services at certain locations (e.g., weddings) outside of a licensed establishment. Limited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makeup application, strip lashes, polish removal and application, and hairstyling.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 not include the use of chemicals, lasers, or other machines.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May include haircutting, subject to the limitations on location provided in subrule </w:t>
      </w:r>
      <w:r>
        <w:rPr>
          <w:rFonts w:ascii="Times New Roman" w:hAnsi="Times New Roman"/>
          <w:b w:val="false"/>
          <w:i w:val="false"/>
          <w:color w:val="000000"/>
          <w:sz w:val="22"/>
        </w:rPr>
        <w:t>943.16(2)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943.16(2)</w:t>
      </w:r>
      <w:r>
        <w:rPr>
          <w:rFonts w:ascii="Times New Roman" w:hAnsi="Times New Roman"/>
          <w:b w:val="false"/>
          <w:i w:val="false"/>
          <w:color w:val="000000"/>
          <w:sz w:val="22"/>
        </w:rPr>
        <w:t> </w:t>
      </w:r>
      <w:r>
        <w:rPr>
          <w:rFonts w:ascii="Times New Roman" w:hAnsi="Times New Roman"/>
          <w:b w:val="false"/>
          <w:i w:val="false"/>
          <w:color w:val="000000"/>
          <w:sz w:val="22"/>
        </w:rPr>
        <w:t>Licensees may provide limited services outside of a licensed establishment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services may not be provided unless scheduled through a licensed establishment. Alternatively, licensees may apply for a one-year temporary permit under Iowa Code section </w:t>
      </w:r>
      <w:hyperlink r:id="rId9">
        <w:r>
          <w:rPr>
            <w:rStyle w:val="Hyperlink"/>
            <w:rFonts w:ascii="Times New Roman" w:hAnsi="Times New Roman"/>
            <w:b w:val="false"/>
            <w:i w:val="false"/>
            <w:color w:val="000000"/>
            <w:sz w:val="22"/>
          </w:rPr>
          <w:t>157.4(1)</w:t>
        </w:r>
      </w:hyperlink>
      <w:r>
        <w:rPr>
          <w:rFonts w:ascii="Times New Roman" w:hAnsi="Times New Roman"/>
          <w:b w:val="false"/>
          <w:i w:val="false"/>
          <w:color w:val="000000"/>
          <w:sz w:val="22"/>
        </w:rPr>
        <w:t xml:space="preserve"> to provide limited services outside of an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services must be within the scope of practice of the licensed barber and cosmetologist, nail technician, or esthetician.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Limited services including haircutting may be provided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temporary or permanent residence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 health care facility, nursing home or convalescent home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services excluding haircutting may be provided at special events such as, but not limited to, weddings and photo shoots.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481—943.17</w:t>
      </w:r>
      <w:r>
        <w:rPr>
          <w:rFonts w:ascii="Times New Roman" w:hAnsi="Times New Roman"/>
          <w:b/>
          <w:i w:val="false"/>
          <w:color w:val="000000"/>
          <w:sz w:val="22"/>
        </w:rPr>
        <w:t xml:space="preserve">(157) </w:t>
      </w:r>
      <w:r>
        <w:rPr>
          <w:rFonts w:ascii="Times New Roman" w:hAnsi="Times New Roman"/>
          <w:b/>
          <w:i w:val="false"/>
          <w:color w:val="000000"/>
          <w:sz w:val="22"/>
        </w:rPr>
        <w:t xml:space="preserve">Prohibited hazardous substances and use of products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943.17(1)</w:t>
      </w:r>
      <w:r>
        <w:rPr>
          <w:rFonts w:ascii="Times New Roman" w:hAnsi="Times New Roman"/>
          <w:b w:val="false"/>
          <w:i w:val="false"/>
          <w:color w:val="000000"/>
          <w:sz w:val="22"/>
        </w:rPr>
        <w:t> </w:t>
      </w:r>
      <w:r>
        <w:rPr>
          <w:rFonts w:ascii="Times New Roman" w:hAnsi="Times New Roman"/>
          <w:b w:val="false"/>
          <w:i w:val="false"/>
          <w:color w:val="000000"/>
          <w:sz w:val="22"/>
        </w:rPr>
        <w:t>No establishment or school shall have on the premises cosmetic products containing substances that have been banned or otherwise deemed hazardous or deleterious by the FDA for use in cosmetic products. Prohibited products include, but are not limited to, any product containing liquid methyl methacrylate monomer and methylene chloride. No product shall be used in a manner that is not approved by the FDA. Presence of a prohibited product in an establishment or school is prima facie evidence of that product’s use in the establishment or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943.17(2)</w:t>
      </w:r>
      <w:r>
        <w:rPr>
          <w:rFonts w:ascii="Times New Roman" w:hAnsi="Times New Roman"/>
          <w:b w:val="false"/>
          <w:i w:val="false"/>
          <w:color w:val="000000"/>
          <w:sz w:val="22"/>
        </w:rPr>
        <w:t> </w:t>
      </w:r>
      <w:r>
        <w:rPr>
          <w:rFonts w:ascii="Times New Roman" w:hAnsi="Times New Roman"/>
          <w:b w:val="false"/>
          <w:i w:val="false"/>
          <w:color w:val="000000"/>
          <w:sz w:val="22"/>
        </w:rPr>
        <w:t>Pedicure instruments designed to remove skin from the bottoms and sides of feet, including but not limited to razor-edged, grating or rasp microplaners, are prohibited. The presence of such equipment is prima facie evidence of the equipment’s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943.17(3)</w:t>
      </w:r>
      <w:r>
        <w:rPr>
          <w:rFonts w:ascii="Times New Roman" w:hAnsi="Times New Roman"/>
          <w:b w:val="false"/>
          <w:i w:val="false"/>
          <w:color w:val="000000"/>
          <w:sz w:val="22"/>
        </w:rPr>
        <w:t> </w:t>
      </w:r>
      <w:r>
        <w:rPr>
          <w:rFonts w:ascii="Times New Roman" w:hAnsi="Times New Roman"/>
          <w:b w:val="false"/>
          <w:i w:val="false"/>
          <w:color w:val="000000"/>
          <w:sz w:val="22"/>
        </w:rPr>
        <w:t>Procedures involving any animal (e.g., fish, leeches, snails) are prohibited in establishments and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943.17(4)</w:t>
      </w:r>
      <w:r>
        <w:rPr>
          <w:rFonts w:ascii="Times New Roman" w:hAnsi="Times New Roman"/>
          <w:b w:val="false"/>
          <w:i w:val="false"/>
          <w:color w:val="000000"/>
          <w:sz w:val="22"/>
        </w:rPr>
        <w:t> </w:t>
      </w:r>
      <w:r>
        <w:rPr>
          <w:rFonts w:ascii="Times New Roman" w:hAnsi="Times New Roman"/>
          <w:b w:val="false"/>
          <w:i w:val="false"/>
          <w:color w:val="000000"/>
          <w:sz w:val="22"/>
        </w:rPr>
        <w:t>No establishment or school may have chamois buffers. If chamois buffers are observed in the workplace, their presence is prima facie evidence of their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943.17(5)</w:t>
      </w:r>
      <w:r>
        <w:rPr>
          <w:rFonts w:ascii="Times New Roman" w:hAnsi="Times New Roman"/>
          <w:b w:val="false"/>
          <w:i w:val="false"/>
          <w:color w:val="000000"/>
          <w:sz w:val="22"/>
        </w:rPr>
        <w:t> </w:t>
      </w:r>
      <w:r>
        <w:rPr>
          <w:rFonts w:ascii="Times New Roman" w:hAnsi="Times New Roman"/>
          <w:b w:val="false"/>
          <w:i w:val="false"/>
          <w:color w:val="000000"/>
          <w:sz w:val="22"/>
        </w:rPr>
        <w:t xml:space="preserve">No establishment or school may use plastic sleeves or envelopes to store cleaned and disinfected implements unless the implements stored in the plastic sleeves or envelopes have actually been sterilized pursuant to paragraph </w:t>
      </w:r>
      <w:hyperlink r:id="rId10">
        <w:r>
          <w:rPr>
            <w:rStyle w:val="Hyperlink"/>
            <w:rFonts w:ascii="Times New Roman" w:hAnsi="Times New Roman"/>
            <w:b w:val="false"/>
            <w:i w:val="false"/>
            <w:color w:val="000000"/>
            <w:sz w:val="22"/>
          </w:rPr>
          <w:t>943.13(2)</w:t>
        </w:r>
        <w:r>
          <w:rPr>
            <w:rFonts w:ascii="Times New Roman" w:hAnsi="Times New Roman"/>
            <w:b w:val="false"/>
            <w:i/>
            <w:color w:val="000000"/>
            <w:sz w:val="22"/>
          </w:rPr>
          <w:t>“a.”</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481—943.18</w:t>
      </w:r>
      <w:r>
        <w:rPr>
          <w:rFonts w:ascii="Times New Roman" w:hAnsi="Times New Roman"/>
          <w:b/>
          <w:i w:val="false"/>
          <w:color w:val="000000"/>
          <w:sz w:val="22"/>
        </w:rPr>
        <w:t xml:space="preserve">(157) </w:t>
      </w:r>
      <w:r>
        <w:rPr>
          <w:rFonts w:ascii="Times New Roman" w:hAnsi="Times New Roman"/>
          <w:b/>
          <w:i w:val="false"/>
          <w:color w:val="000000"/>
          <w:sz w:val="22"/>
        </w:rPr>
        <w:t xml:space="preserve">Proper protection of neck. </w:t>
      </w:r>
      <w:r>
        <w:rPr>
          <w:rFonts w:ascii="Times New Roman" w:hAnsi="Times New Roman"/>
          <w:b w:val="false"/>
          <w:i w:val="false"/>
          <w:color w:val="000000"/>
          <w:sz w:val="22"/>
        </w:rPr>
        <w:t>A properly laundered or disposable cape, haircloth, or similar article may be placed directly against the neck of a client. A cape, haircloth, or similar article that has not been sanitized or properly laundered shall be kept from direct contact with the client's neck by means of a paper neckband, clean towel, or cloth neckbands. A paper neckband shall not be used more than once. Towels or cloth neckbands shall not be used more than once without proper laundering. Neckbands of a nonporous material must be properly cleaned and disinfected after each use and stored in a closed container.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481—943.19</w:t>
      </w:r>
      <w:r>
        <w:rPr>
          <w:rFonts w:ascii="Times New Roman" w:hAnsi="Times New Roman"/>
          <w:b/>
          <w:i w:val="false"/>
          <w:color w:val="000000"/>
          <w:sz w:val="22"/>
        </w:rPr>
        <w:t xml:space="preserve">(157) </w:t>
      </w:r>
      <w:r>
        <w:rPr>
          <w:rFonts w:ascii="Times New Roman" w:hAnsi="Times New Roman"/>
          <w:b/>
          <w:i w:val="false"/>
          <w:color w:val="000000"/>
          <w:sz w:val="22"/>
        </w:rPr>
        <w:t xml:space="preserve">Proper laundering and storage. </w:t>
      </w:r>
      <w:r>
        <w:rPr>
          <w:rFonts w:ascii="Times New Roman" w:hAnsi="Times New Roman"/>
          <w:b w:val="false"/>
          <w:i w:val="false"/>
          <w:color w:val="000000"/>
          <w:sz w:val="22"/>
        </w:rPr>
        <w:t>All cloth towels, robes, and similar items shall be laundered in a washing machine with laundry detergent used according to the manufacturer’s directions. All linens shall be dried until hot to the touch. No moisture shall be left in laundered items. A clean storage area shall be provided for clean towels and linens, and a covered hamper or receptacle marked “used” shall be provided for all soiled towels, robes, and linens.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481—943.20</w:t>
      </w:r>
      <w:r>
        <w:rPr>
          <w:rFonts w:ascii="Times New Roman" w:hAnsi="Times New Roman"/>
          <w:b/>
          <w:i w:val="false"/>
          <w:color w:val="000000"/>
          <w:sz w:val="22"/>
        </w:rPr>
        <w:t xml:space="preserve">(157) </w:t>
      </w:r>
      <w:r>
        <w:rPr>
          <w:rFonts w:ascii="Times New Roman" w:hAnsi="Times New Roman"/>
          <w:b/>
          <w:i w:val="false"/>
          <w:color w:val="000000"/>
          <w:sz w:val="22"/>
        </w:rPr>
        <w:t xml:space="preserve">Animals. </w:t>
      </w:r>
      <w:r>
        <w:rPr>
          <w:rFonts w:ascii="Times New Roman" w:hAnsi="Times New Roman"/>
          <w:b w:val="false"/>
          <w:i w:val="false"/>
          <w:color w:val="000000"/>
          <w:sz w:val="22"/>
        </w:rPr>
        <w:t>Dogs, cats, birds, or other animals are not permitted in establishments or schools. This rule does not apply to service animals as defined by the Americans with Disabilities Act or to fish in an aquarium provided the aquarium is maintained in a sanitary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481—943.21</w:t>
      </w:r>
      <w:r>
        <w:rPr>
          <w:rFonts w:ascii="Times New Roman" w:hAnsi="Times New Roman"/>
          <w:b/>
          <w:i w:val="false"/>
          <w:color w:val="000000"/>
          <w:sz w:val="22"/>
        </w:rPr>
        <w:t xml:space="preserve">(157) </w:t>
      </w:r>
      <w:r>
        <w:rPr>
          <w:rFonts w:ascii="Times New Roman" w:hAnsi="Times New Roman"/>
          <w:b/>
          <w:i w:val="false"/>
          <w:color w:val="000000"/>
          <w:sz w:val="22"/>
        </w:rPr>
        <w:t xml:space="preserve">General maintenance. </w:t>
      </w:r>
      <w:r>
        <w:rPr>
          <w:rFonts w:ascii="Times New Roman" w:hAnsi="Times New Roman"/>
          <w:b w:val="false"/>
          <w:i w:val="false"/>
          <w:color w:val="000000"/>
          <w:sz w:val="22"/>
        </w:rPr>
        <w:t>All areas of the establishment and school shall be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943.21(1)</w:t>
      </w:r>
      <w:r>
        <w:rPr>
          <w:rFonts w:ascii="Times New Roman" w:hAnsi="Times New Roman"/>
          <w:b w:val="false"/>
          <w:i w:val="false"/>
          <w:color w:val="000000"/>
          <w:sz w:val="22"/>
        </w:rPr>
        <w:t> </w:t>
      </w:r>
      <w:r>
        <w:rPr>
          <w:rFonts w:ascii="Times New Roman" w:hAnsi="Times New Roman"/>
          <w:b w:val="false"/>
          <w:i w:val="false"/>
          <w:color w:val="000000"/>
          <w:sz w:val="22"/>
        </w:rPr>
        <w:t>Walls, floors, and fixtures must be kept clean and in good repair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943.21(2)</w:t>
      </w:r>
      <w:r>
        <w:rPr>
          <w:rFonts w:ascii="Times New Roman" w:hAnsi="Times New Roman"/>
          <w:b w:val="false"/>
          <w:i w:val="false"/>
          <w:color w:val="000000"/>
          <w:sz w:val="22"/>
        </w:rPr>
        <w:t> </w:t>
      </w:r>
      <w:r>
        <w:rPr>
          <w:rFonts w:ascii="Times New Roman" w:hAnsi="Times New Roman"/>
          <w:b w:val="false"/>
          <w:i w:val="false"/>
          <w:color w:val="000000"/>
          <w:sz w:val="22"/>
        </w:rPr>
        <w:t>Carpeting shall only be allowed in the reception and hooded dryer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481—943.22</w:t>
      </w:r>
      <w:r>
        <w:rPr>
          <w:rFonts w:ascii="Times New Roman" w:hAnsi="Times New Roman"/>
          <w:b/>
          <w:i w:val="false"/>
          <w:color w:val="000000"/>
          <w:sz w:val="22"/>
        </w:rPr>
        <w:t xml:space="preserve">(157) </w:t>
      </w:r>
      <w:r>
        <w:rPr>
          <w:rFonts w:ascii="Times New Roman" w:hAnsi="Times New Roman"/>
          <w:b/>
          <w:i w:val="false"/>
          <w:color w:val="000000"/>
          <w:sz w:val="22"/>
        </w:rPr>
        <w:t xml:space="preserve">Records. </w:t>
      </w:r>
      <w:r>
        <w:rPr>
          <w:rFonts w:ascii="Times New Roman" w:hAnsi="Times New Roman"/>
          <w:b w:val="false"/>
          <w:i w:val="false"/>
          <w:color w:val="000000"/>
          <w:sz w:val="22"/>
        </w:rPr>
        <w:t>Client records, appointment records, and employment records shall be maintained for a period of not less than three years following the last date of entry. Proper safeguards shall be provided to ensure the safety of these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943.22(1)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for services provided outside of a licensed establishment under rule </w:t>
      </w:r>
      <w:hyperlink r:id="rId11">
        <w:r>
          <w:rPr>
            <w:rStyle w:val="Hyperlink"/>
            <w:rFonts w:ascii="Times New Roman" w:hAnsi="Times New Roman"/>
            <w:b w:val="false"/>
            <w:i w:val="false"/>
            <w:color w:val="000000"/>
            <w:sz w:val="22"/>
          </w:rPr>
          <w:t>481—943.16</w:t>
        </w:r>
      </w:hyperlink>
      <w:r>
        <w:rPr>
          <w:rFonts w:ascii="Times New Roman" w:hAnsi="Times New Roman"/>
          <w:b w:val="false"/>
          <w:i w:val="false"/>
          <w:color w:val="000000"/>
          <w:sz w:val="22"/>
        </w:rPr>
        <w:t>(157)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Client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location of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license number of the licensee performing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and dated waiver stating that the client understands this limited service shall not include the use of chemicals, must be provided by a licensee and that all infection control procedures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943.22(2)</w:t>
      </w:r>
      <w:r>
        <w:rPr>
          <w:rFonts w:ascii="Times New Roman" w:hAnsi="Times New Roman"/>
          <w:b w:val="false"/>
          <w:i w:val="false"/>
          <w:color w:val="000000"/>
          <w:sz w:val="22"/>
        </w:rPr>
        <w:t> </w:t>
      </w:r>
      <w:r>
        <w:rPr>
          <w:rFonts w:ascii="Times New Roman" w:hAnsi="Times New Roman"/>
          <w:b w:val="false"/>
          <w:i w:val="false"/>
          <w:color w:val="000000"/>
          <w:sz w:val="22"/>
        </w:rPr>
        <w:t>Records for employment of blow-dry stylists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of completion of a course on Iowa law, rules and infection control prior to employment, and within every two-year period thereafter as outlined in Iowa Code section </w:t>
      </w:r>
      <w:hyperlink r:id="rId12">
        <w:r>
          <w:rPr>
            <w:rStyle w:val="Hyperlink"/>
            <w:rFonts w:ascii="Times New Roman" w:hAnsi="Times New Roman"/>
            <w:b w:val="false"/>
            <w:i w:val="false"/>
            <w:color w:val="000000"/>
            <w:sz w:val="22"/>
          </w:rPr>
          <w:t>157.12C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Hire date and termination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and dated waiver stating that the employee understands blow-dry stylist services may only be performed in a licensed establishment upon completion of a course on Iowa law, rules and infection control. This waiver must be completed every two years as a condition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943.22(3)</w:t>
      </w:r>
      <w:r>
        <w:rPr>
          <w:rFonts w:ascii="Times New Roman" w:hAnsi="Times New Roman"/>
          <w:b w:val="false"/>
          <w:i w:val="false"/>
          <w:color w:val="000000"/>
          <w:sz w:val="22"/>
        </w:rPr>
        <w:t> </w:t>
      </w:r>
      <w:r>
        <w:rPr>
          <w:rFonts w:ascii="Times New Roman" w:hAnsi="Times New Roman"/>
          <w:b w:val="false"/>
          <w:i w:val="false"/>
          <w:color w:val="000000"/>
          <w:sz w:val="22"/>
        </w:rPr>
        <w:t xml:space="preserve">Foot spa service area records are outlined in subrule </w:t>
      </w:r>
      <w:r>
        <w:rPr>
          <w:rFonts w:ascii="Times New Roman" w:hAnsi="Times New Roman"/>
          <w:b w:val="false"/>
          <w:i w:val="false"/>
          <w:color w:val="000000"/>
          <w:sz w:val="22"/>
        </w:rPr>
        <w:t>943.24(3)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481—943.23</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Establishments and schools providing electrology or esthetics. </w:t>
      </w:r>
      <w:r>
        <w:rPr>
          <w:rFonts w:ascii="Times New Roman" w:hAnsi="Times New Roman"/>
          <w:b w:val="false"/>
          <w:i w:val="false"/>
          <w:color w:val="000000"/>
          <w:sz w:val="22"/>
        </w:rPr>
        <w:t>An establishment or school in which electrology or esthetics is practiced shall follow the infection control rules and requirements pertaining to all establishments and schools and shall also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electrology or esthetics room shall have adequate space, lighting and ventilation.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floors in the immediate area where the electrology or esthetics is performed shall have an impervious, smooth, washable surface.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service table surfaces shall be constructed of impervious, easily disinfected material.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Needles, probes and lancets shall be single-client use and disposable.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Licensees providing electrology services shall wear gloves.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Adequate access to a sink or running water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481—943.24</w:t>
      </w:r>
      <w:r>
        <w:rPr>
          <w:rFonts w:ascii="Times New Roman" w:hAnsi="Times New Roman"/>
          <w:b/>
          <w:i w:val="false"/>
          <w:color w:val="000000"/>
          <w:sz w:val="22"/>
        </w:rPr>
        <w:t xml:space="preserve">(157) </w:t>
      </w:r>
      <w:r>
        <w:rPr>
          <w:rFonts w:ascii="Times New Roman" w:hAnsi="Times New Roman"/>
          <w:b/>
          <w:i w:val="false"/>
          <w:color w:val="000000"/>
          <w:sz w:val="22"/>
        </w:rPr>
        <w:t xml:space="preserve">Cleaning and disinfecting circulating and noncirculating tubs, bowls, and spas.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943.24(1)</w:t>
      </w:r>
      <w:r>
        <w:rPr>
          <w:rFonts w:ascii="Times New Roman" w:hAnsi="Times New Roman"/>
          <w:b w:val="false"/>
          <w:i w:val="false"/>
          <w:color w:val="000000"/>
          <w:sz w:val="22"/>
        </w:rPr>
        <w:t> </w:t>
      </w:r>
      <w:r>
        <w:rPr>
          <w:rFonts w:ascii="Times New Roman" w:hAnsi="Times New Roman"/>
          <w:b w:val="false"/>
          <w:i w:val="false"/>
          <w:color w:val="000000"/>
          <w:sz w:val="22"/>
        </w:rPr>
        <w:t>After use for each client, a service provider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Drain the water and remove any visible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the surfaces according to the manufacturer’s instructions, use a brush to remove all film, and rinse the tub, bowl, or spa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Fill the tub, bowl, or spa basin with water and add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 the disinfectant to stand for noncirculating tubs, bowls, or basins or to circulate for circulating tubs, bowls, or basins for the time specified according to the manufacturer’s instructions;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disinfection, drain and rinse with clean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943.24(2)</w:t>
      </w:r>
      <w:r>
        <w:rPr>
          <w:rFonts w:ascii="Times New Roman" w:hAnsi="Times New Roman"/>
          <w:b w:val="false"/>
          <w:i w:val="false"/>
          <w:color w:val="000000"/>
          <w:sz w:val="22"/>
        </w:rPr>
        <w:t> </w:t>
      </w:r>
      <w:r>
        <w:rPr>
          <w:rFonts w:ascii="Times New Roman" w:hAnsi="Times New Roman"/>
          <w:b w:val="false"/>
          <w:i w:val="false"/>
          <w:color w:val="000000"/>
          <w:sz w:val="22"/>
        </w:rPr>
        <w:t>At the end of the day, a service provider shall remove all removable parts from circulating tubs, such as filters, screens, drains, and jets, and clean and disinfect the removable parts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Scrub with a brush and soap or detergent until free from debris, and then rinse.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Completely immerse in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Rinse and air 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Replace the disinfected parts into the tubs, bowl, or basin or store the parts in a disinfected, dry, covered container that is isolated from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943.24(3)</w:t>
      </w:r>
      <w:r>
        <w:rPr>
          <w:rFonts w:ascii="Times New Roman" w:hAnsi="Times New Roman"/>
          <w:b w:val="false"/>
          <w:i w:val="false"/>
          <w:color w:val="000000"/>
          <w:sz w:val="22"/>
        </w:rPr>
        <w:t> </w:t>
      </w:r>
      <w:r>
        <w:rPr>
          <w:rFonts w:ascii="Times New Roman" w:hAnsi="Times New Roman"/>
          <w:b w:val="false"/>
          <w:i w:val="false"/>
          <w:color w:val="000000"/>
          <w:sz w:val="22"/>
        </w:rPr>
        <w:t>Foot spa service area records. For each foot spa service, including but not limited to pedicures, a record shall be made of the date and time of the daily cleaning and disinfecting for all circulating and noncirculating tubs, bowls or basins. This record shall be made at or near the time of cleaning and disinfecting. Records of cleaning and disinfecting shall be made available upon request by a client, inspector or investigator. The record must be signed by a licensee and include the licensee’s license number beside each recorded cleaning event. Foot spa records shall be maintained for two years from the date of the cleaning.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481—943.25</w:t>
      </w:r>
      <w:r>
        <w:rPr>
          <w:rFonts w:ascii="Times New Roman" w:hAnsi="Times New Roman"/>
          <w:b/>
          <w:i w:val="false"/>
          <w:color w:val="000000"/>
          <w:sz w:val="22"/>
        </w:rPr>
        <w:t xml:space="preserve">(157) </w:t>
      </w:r>
      <w:r>
        <w:rPr>
          <w:rFonts w:ascii="Times New Roman" w:hAnsi="Times New Roman"/>
          <w:b/>
          <w:i w:val="false"/>
          <w:color w:val="000000"/>
          <w:sz w:val="22"/>
        </w:rPr>
        <w:t xml:space="preserve">Paraffin wax. </w:t>
      </w:r>
      <w:r>
        <w:rPr>
          <w:rFonts w:ascii="Times New Roman" w:hAnsi="Times New Roman"/>
          <w:b w:val="false"/>
          <w:i w:val="false"/>
          <w:color w:val="000000"/>
          <w:sz w:val="22"/>
        </w:rPr>
        <w:t>Paraffin wax shall be used according to the manufacturer’s instructions and shall be used in such a manner so as not to contaminate the remaining wax in the paraffin bath. The following procedures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client shall be free of broken skin or any skin disorder;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Hands or feet of a client shall be cleaned before being dipped into paraffin wax. The client’s hands and feet shall not be dipped into the original wax container. The wax shall be removed from the original container and placed in a single-use bag before dipping. Any unused wax remaining in the single-use bag shall be discarded after dipping;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Paraffin wax that has been removed from a client’s hands or feet shall be discarded after each use;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Paraffin wax shall be kept free of any debris and kept covered when not in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147.7</w:t>
        </w:r>
      </w:hyperlink>
      <w:r>
        <w:rPr>
          <w:rFonts w:ascii="Times New Roman" w:hAnsi="Times New Roman"/>
          <w:b w:val="false"/>
          <w:i w:val="false"/>
          <w:color w:val="000000"/>
          <w:sz w:val="22"/>
        </w:rPr>
        <w:t xml:space="preserve"> and chapter </w:t>
      </w:r>
      <w:hyperlink r:id="rId14">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10/13/67]</w:t>
      </w:r>
    </w:p>
    <w:p>
      <w:pPr>
        <w:spacing w:before="0" w:after="0"/>
        <w:ind w:left="120"/>
        <w:jc w:val="center"/>
      </w:pPr>
      <w:r>
        <w:rPr>
          <w:rFonts w:ascii="Times New Roman" w:hAnsi="Times New Roman"/>
          <w:b w:val="false"/>
          <w:i w:val="false"/>
          <w:color w:val="000000"/>
          <w:sz w:val="21"/>
        </w:rPr>
        <w:t>[Filed 9/2/77, Notice 7/13/77—published 9/21/77, effective 11/1/77]</w:t>
      </w:r>
    </w:p>
    <w:p>
      <w:pPr>
        <w:spacing w:before="0" w:after="0"/>
        <w:ind w:left="120"/>
        <w:jc w:val="center"/>
      </w:pPr>
      <w:r>
        <w:rPr>
          <w:rFonts w:ascii="Times New Roman" w:hAnsi="Times New Roman"/>
          <w:b w:val="false"/>
          <w:i w:val="false"/>
          <w:color w:val="000000"/>
          <w:sz w:val="21"/>
        </w:rPr>
        <w:t>[Filed 4/24/79, Notice 2/7/79—published 5/16/79, effective 7/1/79]</w:t>
      </w:r>
    </w:p>
    <w:p>
      <w:pPr>
        <w:spacing w:before="0" w:after="0"/>
        <w:ind w:left="120"/>
        <w:jc w:val="center"/>
      </w:pPr>
      <w:r>
        <w:rPr>
          <w:rFonts w:ascii="Times New Roman" w:hAnsi="Times New Roman"/>
          <w:b w:val="false"/>
          <w:i w:val="false"/>
          <w:color w:val="000000"/>
          <w:sz w:val="21"/>
        </w:rPr>
        <w:t>[Filed 11/15/84, Notice 9/26/84—published 12/5/84, effective 1/9/85]</w:t>
      </w:r>
    </w:p>
    <w:p>
      <w:pPr>
        <w:spacing w:before="0" w:after="0"/>
        <w:ind w:left="120"/>
        <w:jc w:val="center"/>
      </w:pPr>
      <w:r>
        <w:rPr>
          <w:rFonts w:ascii="Times New Roman" w:hAnsi="Times New Roman"/>
          <w:b w:val="false"/>
          <w:i w:val="false"/>
          <w:color w:val="000000"/>
          <w:sz w:val="21"/>
        </w:rPr>
        <w:t>[Filed 11/15/84, Notice 10/10/84—published 12/5/84, effective 1/9/85]</w:t>
      </w:r>
    </w:p>
    <w:p>
      <w:pPr>
        <w:spacing w:before="0" w:after="0"/>
        <w:ind w:left="120"/>
        <w:jc w:val="center"/>
      </w:pPr>
      <w:r>
        <w:rPr>
          <w:rFonts w:ascii="Times New Roman" w:hAnsi="Times New Roman"/>
          <w:b w:val="false"/>
          <w:i w:val="false"/>
          <w:color w:val="000000"/>
          <w:sz w:val="21"/>
        </w:rPr>
        <w:t>[Filed 5/12/87, Notice 12/3/87—published 6/3/87, effective 7/8/87]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2/19/99, Notice 12/30/98—published 3/10/99, effective 4/14/99]</w:t>
      </w:r>
    </w:p>
    <w:p>
      <w:pPr>
        <w:spacing w:before="0" w:after="0"/>
        <w:ind w:left="120"/>
        <w:jc w:val="center"/>
      </w:pPr>
      <w:r>
        <w:rPr>
          <w:rFonts w:ascii="Times New Roman" w:hAnsi="Times New Roman"/>
          <w:b w:val="false"/>
          <w:i w:val="false"/>
          <w:color w:val="000000"/>
          <w:sz w:val="21"/>
        </w:rPr>
        <w:t>[Filed 8/14/02, Notice 5/29/02—published 9/4/02, effective 10/9/02]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2/1/06, Notice 12/7/05—published 3/1/06, effective 4/5/06]</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2600C</w:t>
      </w:r>
      <w:r>
        <w:rPr>
          <w:rFonts w:ascii="Times New Roman" w:hAnsi="Times New Roman"/>
          <w:b w:val="false"/>
          <w:i w:val="false"/>
          <w:color w:val="000000"/>
          <w:sz w:val="21"/>
        </w:rPr>
        <w:t xml:space="preserve"> (Notice ARC 2465C, IAB 3/16/16)</w:t>
      </w:r>
      <w:r>
        <w:rPr>
          <w:rFonts w:ascii="Times New Roman" w:hAnsi="Times New Roman"/>
          <w:b w:val="false"/>
          <w:i w:val="false"/>
          <w:color w:val="000000"/>
          <w:sz w:val="21"/>
        </w:rPr>
        <w:t>, IAB 6/22/16, effective 8/15/16]</w:t>
      </w:r>
    </w:p>
    <w:p>
      <w:pPr>
        <w:spacing w:before="0" w:after="0"/>
        <w:ind w:left="120"/>
        <w:jc w:val="center"/>
      </w:pPr>
      <w:r>
        <w:rPr>
          <w:rFonts w:ascii="Times New Roman" w:hAnsi="Times New Roman"/>
          <w:b w:val="false"/>
          <w:i w:val="false"/>
          <w:color w:val="000000"/>
          <w:sz w:val="21"/>
        </w:rPr>
        <w:t>[Filed ARC 7922C</w:t>
      </w:r>
      <w:r>
        <w:rPr>
          <w:rFonts w:ascii="Times New Roman" w:hAnsi="Times New Roman"/>
          <w:b w:val="false"/>
          <w:i w:val="false"/>
          <w:color w:val="000000"/>
          <w:sz w:val="21"/>
        </w:rPr>
        <w:t xml:space="preserve"> (Notice ARC 7539C,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7.pdf" Type="http://schemas.openxmlformats.org/officeDocument/2006/relationships/hyperlink" Id="rId4"/>
    <Relationship TargetMode="External" Target="https://www.legis.iowa.gov/docs/iac/rule/481.943.5.pdf" Type="http://schemas.openxmlformats.org/officeDocument/2006/relationships/hyperlink" Id="rId5"/>
    <Relationship TargetMode="External" Target="https://www.legis.iowa.gov/docs/ico/chapter/142D.pdf" Type="http://schemas.openxmlformats.org/officeDocument/2006/relationships/hyperlink" Id="rId6"/>
    <Relationship TargetMode="External" Target="https://www.legis.iowa.gov/docs/iac/rule/481.943.13.pdf" Type="http://schemas.openxmlformats.org/officeDocument/2006/relationships/hyperlink" Id="rId7"/>
    <Relationship TargetMode="External" Target="https://www.legis.iowa.gov/docs/ico/chapter/157.pdf" Type="http://schemas.openxmlformats.org/officeDocument/2006/relationships/hyperlink" Id="rId8"/>
    <Relationship TargetMode="External" Target="https://www.legis.iowa.gov/docs/ico/chapter/157.pdf" Type="http://schemas.openxmlformats.org/officeDocument/2006/relationships/hyperlink" Id="rId9"/>
    <Relationship TargetMode="External" Target="https://www.legis.iowa.gov/docs/iac/chapter/645.63.pdf" Type="http://schemas.openxmlformats.org/officeDocument/2006/relationships/hyperlink" Id="rId10"/>
    <Relationship TargetMode="External" Target="https://www.legis.iowa.gov/docs/iac/rule/481.943.16.pdf" Type="http://schemas.openxmlformats.org/officeDocument/2006/relationships/hyperlink" Id="rId11"/>
    <Relationship TargetMode="External" Target="https://www.legis.iowa.gov/docs/ico/chapter/157.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co/chapter/157.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