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922</w:t>
      </w:r>
    </w:p>
    <w:p>
      <w:pPr>
        <w:spacing w:before="0" w:after="0"/>
        <w:ind w:left="120"/>
        <w:jc w:val="center"/>
      </w:pPr>
      <w:r>
        <w:rPr>
          <w:rFonts w:ascii="Times New Roman" w:hAnsi="Times New Roman"/>
          <w:b w:val="false"/>
          <w:i w:val="false"/>
          <w:color w:val="000000"/>
          <w:sz w:val="21"/>
        </w:rPr>
        <w:t>CONTINUING EDUCATION FOR DIETITIANS</w:t>
      </w:r>
    </w:p>
    <w:p>
      <w:pPr>
        <w:spacing w:before="0" w:after="0"/>
        <w:ind w:left="120"/>
        <w:jc w:val="center"/>
      </w:pPr>
      <w:r>
        <w:rPr>
          <w:rFonts w:ascii="Times New Roman" w:hAnsi="Times New Roman"/>
          <w:b w:val="false"/>
          <w:i w:val="false"/>
          <w:color w:val="000000"/>
          <w:sz w:val="14"/>
        </w:rPr>
        <w:t>[Prior to 6/26/02, see 645—Ch 81]</w:t>
      </w:r>
    </w:p>
    <w:p>
      <w:pPr>
        <w:spacing w:before="0" w:after="0"/>
        <w:ind w:left="120"/>
        <w:jc w:val="center"/>
      </w:pPr>
      <w:r>
        <w:rPr>
          <w:rFonts w:ascii="Times New Roman" w:hAnsi="Times New Roman"/>
          <w:b w:val="false"/>
          <w:i w:val="false"/>
          <w:color w:val="000000"/>
          <w:sz w:val="14"/>
        </w:rPr>
        <w:t>[Prior to 9/18/24, see Professional Licensure Division[645] Ch 82]</w:t>
      </w:r>
    </w:p>
    <w:p>
      <w:pPr>
        <w:spacing w:before="0" w:after="0"/>
        <w:ind w:left="120"/>
        <w:jc w:val="both"/>
      </w:pPr>
      <w:r>
        <w:rPr>
          <w:rFonts w:ascii="Times New Roman" w:hAnsi="Times New Roman"/>
          <w:b/>
          <w:i w:val="false"/>
          <w:color w:val="000000"/>
          <w:sz w:val="22"/>
        </w:rPr>
        <w:t>481—922.1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“Webinar” </w:t>
      </w:r>
      <w:r>
        <w:rPr>
          <w:rFonts w:ascii="Times New Roman" w:hAnsi="Times New Roman"/>
          <w:b w:val="false"/>
          <w:i w:val="false"/>
          <w:color w:val="000000"/>
          <w:sz w:val="22"/>
        </w:rPr>
        <w:t>means a web-based seminar, presentation, lecture, or workshop that is transmitted over the web.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481—922.2</w:t>
      </w:r>
      <w:r>
        <w:rPr>
          <w:rFonts w:ascii="Times New Roman" w:hAnsi="Times New Roman"/>
          <w:b/>
          <w:i w:val="false"/>
          <w:color w:val="000000"/>
          <w:sz w:val="22"/>
        </w:rPr>
        <w:t xml:space="preserve">(152A)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sixteenth day of the licensee’s birth month and ending on the fifteenth day of the birth month two years later. Each biennium, each person who is licensed to practice as a dietitian in this state will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481—922.3</w:t>
      </w:r>
      <w:r>
        <w:rPr>
          <w:rFonts w:ascii="Times New Roman" w:hAnsi="Times New Roman"/>
          <w:b/>
          <w:i w:val="false"/>
          <w:color w:val="000000"/>
          <w:sz w:val="22"/>
        </w:rPr>
        <w:t xml:space="preserve">(152A,272C)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programs/activities that reflect the educational needs of the dietitian and the nutritional needs of the consumer. Continuing education programs/activities that are scientifically founded and offered at a level beyond entry-level dietetics for professional growth will be accepted for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other types of activities identified in the individual licensee’s professional development portfolio for Commission on Dietetic Registration (CDR)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programs/activities via webinars and independent study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submit completed training to comply with mandatory reporter training requirements as specified in </w:t>
      </w:r>
      <w:hyperlink r:id="rId4">
        <w:r>
          <w:rPr>
            <w:rStyle w:val="Hyperlink"/>
            <w:rFonts w:ascii="Times New Roman" w:hAnsi="Times New Roman"/>
            <w:b w:val="false"/>
            <w:i w:val="false"/>
            <w:color w:val="000000"/>
            <w:sz w:val="22"/>
          </w:rPr>
          <w:t>481—921.9</w:t>
        </w:r>
      </w:hyperlink>
      <w:r>
        <w:rPr>
          <w:rFonts w:ascii="Times New Roman" w:hAnsi="Times New Roman"/>
          <w:b w:val="false"/>
          <w:i w:val="false"/>
          <w:color w:val="000000"/>
          <w:sz w:val="22"/>
        </w:rPr>
        <w:t>(4). Hours reported for credit will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appropriate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Sciences related to dietetic practice, education, or research including biological sciences, food and resource management, and behavioral and social sciences to achieve and maintain people’s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assessment, counseling, teaching, or care of clients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or quality assurance of nutritional care delivery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community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Criteria for hours of credit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Academic coursework. Coursework for credit must be completed at a regionally accredited U.S. college or university. In order for the licensee to receive continuing education credit, the coursework must be beyond entry-level dietetics.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publications. Publication may be approved if submitted in published form in the continuing education documentation file of the licensee. All publications must appear in refereed professional journals. Material related to work responsibilities, such as diet and staff manuals, and publications for the lay public are unacceptable. Continuing education credit hours may be reported using the following guidelines: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Senior author: first of two or more authors listed.</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Coauthor: second of two authors listed.</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Contributing author: all but senior of the three or more authors.</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Research papers: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Single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Contributing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hours</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Technical articles: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Single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Contributing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Information-sharing articles: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hour</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 Abstracts: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hour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Poster sessions. Continuing education credit may be obtained for attending juried poster sessions at national meetings that meet the criteria for appropriate subject matter as required in these rules. One hour of continuing education credit is allowed for each 12 posters reviewed not to exceed six hours in a continuing education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Presenters. Presenters may receive continuing education credit. Presentations to the lay public will not receive credit for continuing education. For each 50-minute hour of presentation, two hours of credit for continuing education will be earned. Presenters of poster sessions at national professional meetings will receive a maximum of two hours of credit per topic. A copy of the abstract or manuscript and documentation of the peer review process must be included in the licensee’s documentation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development training. Staff development training that meets the criteria in this subrule will be credited on the basis of the defined hour of continuing education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9606B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7926C</w:t>
      </w:r>
      <w:r>
        <w:rPr>
          <w:rFonts w:ascii="Times New Roman" w:hAnsi="Times New Roman"/>
          <w:b w:val="false"/>
          <w:i w:val="false"/>
          <w:color w:val="000000"/>
          <w:sz w:val="21"/>
        </w:rPr>
        <w:t xml:space="preserve"> (Notice ARC 7543C,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21.9.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52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