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DIETETICS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921</w:t>
      </w:r>
    </w:p>
    <w:p>
      <w:pPr>
        <w:spacing w:before="0" w:after="0"/>
        <w:ind w:left="120"/>
        <w:jc w:val="center"/>
      </w:pPr>
      <w:r>
        <w:rPr>
          <w:rFonts w:ascii="Times New Roman" w:hAnsi="Times New Roman"/>
          <w:b w:val="false"/>
          <w:i w:val="false"/>
          <w:color w:val="000000"/>
          <w:sz w:val="21"/>
        </w:rPr>
        <w:t>LICENSURE OF DIETITIANS</w:t>
      </w:r>
    </w:p>
    <w:p>
      <w:pPr>
        <w:spacing w:before="0" w:after="0"/>
        <w:ind w:left="120"/>
        <w:jc w:val="center"/>
      </w:pPr>
      <w:r>
        <w:rPr>
          <w:rFonts w:ascii="Times New Roman" w:hAnsi="Times New Roman"/>
          <w:b w:val="false"/>
          <w:i w:val="false"/>
          <w:color w:val="000000"/>
          <w:sz w:val="14"/>
        </w:rPr>
        <w:t>[Prior to 6/26/02, see 645—Ch 80]</w:t>
      </w:r>
    </w:p>
    <w:p>
      <w:pPr>
        <w:spacing w:before="0" w:after="0"/>
        <w:ind w:left="120"/>
        <w:jc w:val="center"/>
      </w:pPr>
      <w:r>
        <w:rPr>
          <w:rFonts w:ascii="Times New Roman" w:hAnsi="Times New Roman"/>
          <w:b w:val="false"/>
          <w:i w:val="false"/>
          <w:color w:val="000000"/>
          <w:sz w:val="14"/>
        </w:rPr>
        <w:t>[Prior to 9/18/24, see Professional Licensure Division[645] Ch 81]</w:t>
      </w:r>
    </w:p>
    <w:p>
      <w:pPr>
        <w:spacing w:before="0" w:after="0"/>
        <w:ind w:left="120"/>
        <w:jc w:val="both"/>
      </w:pPr>
      <w:r>
        <w:rPr>
          <w:rFonts w:ascii="Times New Roman" w:hAnsi="Times New Roman"/>
          <w:b/>
          <w:i w:val="false"/>
          <w:color w:val="000000"/>
          <w:sz w:val="22"/>
        </w:rPr>
        <w:t>481—921.1</w:t>
      </w:r>
      <w:r>
        <w:rPr>
          <w:rFonts w:ascii="Times New Roman" w:hAnsi="Times New Roman"/>
          <w:b/>
          <w:i w:val="false"/>
          <w:color w:val="000000"/>
          <w:sz w:val="22"/>
        </w:rPr>
        <w:t xml:space="preserve">(152A)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dietetics.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“Consultation” </w:t>
      </w:r>
      <w:r>
        <w:rPr>
          <w:rFonts w:ascii="Times New Roman" w:hAnsi="Times New Roman"/>
          <w:b w:val="false"/>
          <w:i w:val="false"/>
          <w:color w:val="000000"/>
          <w:sz w:val="22"/>
        </w:rPr>
        <w:t>means the practice of providing professional advice to another dietitian or other professional in a particular case and for a limited time, in affiliation with, and at the request of, a dietitian licensed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“Dietetics” </w:t>
      </w:r>
      <w:r>
        <w:rPr>
          <w:rFonts w:ascii="Times New Roman" w:hAnsi="Times New Roman"/>
          <w:b w:val="false"/>
          <w:i w:val="false"/>
          <w:color w:val="000000"/>
          <w:sz w:val="22"/>
        </w:rPr>
        <w:t>means the integration and application of principles derived from the sciences of nutrition, biochemistry, physiology, food management and from behavioral and social sciences to achieve and maintain an individual’s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dietitian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the fifteenth day of the birth month every two years following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“Nutrition assessment” </w:t>
      </w:r>
      <w:r>
        <w:rPr>
          <w:rFonts w:ascii="Times New Roman" w:hAnsi="Times New Roman"/>
          <w:b w:val="false"/>
          <w:i w:val="false"/>
          <w:color w:val="000000"/>
          <w:sz w:val="22"/>
        </w:rPr>
        <w:t>means the evaluation of the nutrition needs of individuals and groups based upon appropriate biochemical, anthropometric, physical, and dietary data to determine nutrient needs and to recommend appropriate nutritional intake, including enteral and parenteral nutrition.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“Nutrition counseling” </w:t>
      </w:r>
      <w:r>
        <w:rPr>
          <w:rFonts w:ascii="Times New Roman" w:hAnsi="Times New Roman"/>
          <w:b w:val="false"/>
          <w:i w:val="false"/>
          <w:color w:val="000000"/>
          <w:sz w:val="22"/>
        </w:rPr>
        <w:t>means advising and assisting individuals or groups, with consideration of cultural background and socioeconomic status, about appropriate nutritional intake by integrating information from the nutrition assessment with information about food and other sources of nutrients and meal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4">
        <w:r>
          <w:rPr>
            <w:rStyle w:val="Hyperlink"/>
            <w:rFonts w:ascii="Times New Roman" w:hAnsi="Times New Roman"/>
            <w:b w:val="false"/>
            <w:i w:val="false"/>
            <w:color w:val="000000"/>
            <w:sz w:val="22"/>
          </w:rPr>
          <w:t>481—91.8</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“Reciprocal license” </w:t>
      </w:r>
      <w:r>
        <w:rPr>
          <w:rFonts w:ascii="Times New Roman" w:hAnsi="Times New Roman"/>
          <w:b w:val="false"/>
          <w:i w:val="false"/>
          <w:color w:val="000000"/>
          <w:sz w:val="22"/>
        </w:rPr>
        <w:t>means the issuance of an Iowa license to practice dietetics to an applicant who is currently licensed in another state that has a mutual agreement with the Iowa board of dietetics to license persons who have the same or similar qualifications as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dietitian” </w:t>
      </w:r>
      <w:r>
        <w:rPr>
          <w:rFonts w:ascii="Times New Roman" w:hAnsi="Times New Roman"/>
          <w:b w:val="false"/>
          <w:i w:val="false"/>
          <w:color w:val="000000"/>
          <w:sz w:val="22"/>
        </w:rPr>
        <w:t>means a dietitian who has met the standards and qualifications of the Commission on Dietetic Registration, a member of the National Commission for Certifying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“Supervision of nonlicensees” </w:t>
      </w:r>
      <w:r>
        <w:rPr>
          <w:rFonts w:ascii="Times New Roman" w:hAnsi="Times New Roman"/>
          <w:b w:val="false"/>
          <w:i w:val="false"/>
          <w:color w:val="000000"/>
          <w:sz w:val="22"/>
        </w:rPr>
        <w:t>means any of the following: delegation of duties, direct oversight, or indirect oversight of employees or other persons not licensed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481—921.2</w:t>
      </w:r>
      <w:r>
        <w:rPr>
          <w:rFonts w:ascii="Times New Roman" w:hAnsi="Times New Roman"/>
          <w:b/>
          <w:i w:val="false"/>
          <w:color w:val="000000"/>
          <w:sz w:val="22"/>
        </w:rPr>
        <w:t xml:space="preserve">(152A) </w:t>
      </w:r>
      <w:r>
        <w:rPr>
          <w:rFonts w:ascii="Times New Roman" w:hAnsi="Times New Roman"/>
          <w:b/>
          <w:i w:val="false"/>
          <w:color w:val="000000"/>
          <w:sz w:val="22"/>
        </w:rPr>
        <w:t xml:space="preserve">Nutrition care. </w:t>
      </w:r>
      <w:r>
        <w:rPr>
          <w:rFonts w:ascii="Times New Roman" w:hAnsi="Times New Roman"/>
          <w:b w:val="false"/>
          <w:i w:val="false"/>
          <w:color w:val="000000"/>
          <w:sz w:val="22"/>
        </w:rPr>
        <w:t>The primary function of dietetic practice is the provision of nutrition care services that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Assessing the nutrition needs of individuals and groups and determining resources and constraints in the practice setting.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Establishing priorities, goals, and objectives that meet nutrition needs and are consistent with available resources and constraints.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Providing nutrition counseling concerning health and disease.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Developing, implementing, and managing nutrition care systems.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Evaluating, making changes in, and maintaining appropriate standards of quality in food and nutrition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481—921.3</w:t>
      </w:r>
      <w:r>
        <w:rPr>
          <w:rFonts w:ascii="Times New Roman" w:hAnsi="Times New Roman"/>
          <w:b/>
          <w:i w:val="false"/>
          <w:color w:val="000000"/>
          <w:sz w:val="22"/>
        </w:rPr>
        <w:t xml:space="preserve">(152A) </w:t>
      </w:r>
      <w:r>
        <w:rPr>
          <w:rFonts w:ascii="Times New Roman" w:hAnsi="Times New Roman"/>
          <w:b/>
          <w:i w:val="false"/>
          <w:color w:val="000000"/>
          <w:sz w:val="22"/>
        </w:rPr>
        <w:t xml:space="preserve">Requirements for licensure. </w:t>
      </w:r>
      <w:r>
        <w:rPr>
          <w:rFonts w:ascii="Times New Roman" w:hAnsi="Times New Roman"/>
          <w:b w:val="false"/>
          <w:i w:val="false"/>
          <w:color w:val="000000"/>
          <w:sz w:val="22"/>
        </w:rPr>
        <w:t>The following criteria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submits a completed online application for licensure and pay the nonrefundable licensure fee specified in rule </w:t>
      </w:r>
      <w:hyperlink r:id="rId6">
        <w:r>
          <w:rPr>
            <w:rStyle w:val="Hyperlink"/>
            <w:rFonts w:ascii="Times New Roman" w:hAnsi="Times New Roman"/>
            <w:b w:val="false"/>
            <w:i w:val="false"/>
            <w:color w:val="000000"/>
            <w:sz w:val="22"/>
          </w:rPr>
          <w:t>481—507.6</w:t>
        </w:r>
      </w:hyperlink>
      <w:r>
        <w:rPr>
          <w:rFonts w:ascii="Times New Roman" w:hAnsi="Times New Roman"/>
          <w:b w:val="false"/>
          <w:i w:val="false"/>
          <w:color w:val="000000"/>
          <w:sz w:val="22"/>
        </w:rPr>
        <w:t>(147,152A).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921.3(2)</w:t>
      </w:r>
      <w:r>
        <w:rPr>
          <w:rFonts w:ascii="Times New Roman" w:hAnsi="Times New Roman"/>
          <w:b w:val="false"/>
          <w:i w:val="false"/>
          <w:color w:val="000000"/>
          <w:sz w:val="22"/>
        </w:rPr>
        <w:t> </w:t>
      </w:r>
      <w:r>
        <w:rPr>
          <w:rFonts w:ascii="Times New Roman" w:hAnsi="Times New Roman"/>
          <w:b w:val="false"/>
          <w:i w:val="false"/>
          <w:color w:val="000000"/>
          <w:sz w:val="22"/>
        </w:rPr>
        <w:t>No application will be considered by the board until the applicant satisfactorily completes the registration examination for dietitians administered by the Commission on Dietetic Registration (CDR). The board will accept the passing score set by the CDR. Verification of satisfactory completion may be established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sends to the board a copy of the CDR registration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CDR sends an official letter directly to the board to verify that the applicant holds registration status;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CDR posts web-based verification that the applicant holds registration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is not required for dietitians who are in this state for the purpose of consultation, in accordance with rule </w:t>
      </w:r>
      <w:hyperlink r:id="rId7">
        <w:r>
          <w:rPr>
            <w:rStyle w:val="Hyperlink"/>
            <w:rFonts w:ascii="Times New Roman" w:hAnsi="Times New Roman"/>
            <w:b w:val="false"/>
            <w:i w:val="false"/>
            <w:color w:val="000000"/>
            <w:sz w:val="22"/>
          </w:rPr>
          <w:t>481—921.1</w:t>
        </w:r>
      </w:hyperlink>
      <w:r>
        <w:rPr>
          <w:rFonts w:ascii="Times New Roman" w:hAnsi="Times New Roman"/>
          <w:b w:val="false"/>
          <w:i w:val="false"/>
          <w:color w:val="000000"/>
          <w:sz w:val="22"/>
        </w:rPr>
        <w:t xml:space="preserve">(152A), when they are licensed in another state, U.S. territory, or country, or have received at least a baccalaureate degree in human nutrition from a U.S. regionally accredited college or university.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921.3(4)</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 considered invalid and destroyed.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481—921.4</w:t>
      </w:r>
      <w:r>
        <w:rPr>
          <w:rFonts w:ascii="Times New Roman" w:hAnsi="Times New Roman"/>
          <w:b/>
          <w:i w:val="false"/>
          <w:color w:val="000000"/>
          <w:sz w:val="22"/>
        </w:rPr>
        <w:t xml:space="preserve">(152A)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921.4(1)</w:t>
      </w:r>
      <w:r>
        <w:rPr>
          <w:rFonts w:ascii="Times New Roman" w:hAnsi="Times New Roman"/>
          <w:b w:val="false"/>
          <w:i w:val="false"/>
          <w:color w:val="000000"/>
          <w:sz w:val="22"/>
        </w:rPr>
        <w:t> </w:t>
      </w:r>
      <w:r>
        <w:rPr>
          <w:rFonts w:ascii="Times New Roman" w:hAnsi="Times New Roman"/>
          <w:b w:val="false"/>
          <w:i w:val="false"/>
          <w:color w:val="000000"/>
          <w:sz w:val="22"/>
        </w:rPr>
        <w:t>The applicant shall possess a baccalaureate degree or postbaccalaureate degree from a U.S. regionally accredited college or university with a major course of study in human nutrition, food and nutrition, nutrition education, dietetics, or food systems management, or in an equivalent major course of study, that meets minimum academic requirements as established by the Accreditation Council for Education in Nutrition and Dietetics (ACEND) of the Academy of Nutrition and Dietetics (AND) and is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921.4(2)</w:t>
      </w:r>
      <w:r>
        <w:rPr>
          <w:rFonts w:ascii="Times New Roman" w:hAnsi="Times New Roman"/>
          <w:b w:val="false"/>
          <w:i w:val="false"/>
          <w:color w:val="000000"/>
          <w:sz w:val="22"/>
        </w:rPr>
        <w:t> </w:t>
      </w:r>
      <w:r>
        <w:rPr>
          <w:rFonts w:ascii="Times New Roman" w:hAnsi="Times New Roman"/>
          <w:b w:val="false"/>
          <w:i w:val="false"/>
          <w:color w:val="000000"/>
          <w:sz w:val="22"/>
        </w:rPr>
        <w:t>A foreign-trained dietitian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an official letter sent directly from the Commission on Dietetic Registration (CDR) to the board to verify that the applicant has met the minimum academic and didactic program requirements of the CDR. Foreign degree equivalency evaluation requirements of the ACEND of the AND are listed on the ACEND website,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evidence of meeting all other requirements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481—921.5</w:t>
      </w:r>
      <w:r>
        <w:rPr>
          <w:rFonts w:ascii="Times New Roman" w:hAnsi="Times New Roman"/>
          <w:b/>
          <w:i w:val="false"/>
          <w:color w:val="000000"/>
          <w:sz w:val="22"/>
        </w:rPr>
        <w:t xml:space="preserve">(152A) </w:t>
      </w:r>
      <w:r>
        <w:rPr>
          <w:rFonts w:ascii="Times New Roman" w:hAnsi="Times New Roman"/>
          <w:b/>
          <w:i w:val="false"/>
          <w:color w:val="000000"/>
          <w:sz w:val="22"/>
        </w:rPr>
        <w:t xml:space="preserve">Supervised experience. </w:t>
      </w:r>
      <w:r>
        <w:rPr>
          <w:rFonts w:ascii="Times New Roman" w:hAnsi="Times New Roman"/>
          <w:b w:val="false"/>
          <w:i w:val="false"/>
          <w:color w:val="000000"/>
          <w:sz w:val="22"/>
        </w:rPr>
        <w:t>The applicant shall complete an accredited competency-based supervised experience program approved by the ACEND of the 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481—921.6</w:t>
      </w:r>
      <w:r>
        <w:rPr>
          <w:rFonts w:ascii="Times New Roman" w:hAnsi="Times New Roman"/>
          <w:b/>
          <w:i w:val="false"/>
          <w:color w:val="000000"/>
          <w:sz w:val="22"/>
        </w:rPr>
        <w:t xml:space="preserve">(152A) </w:t>
      </w:r>
      <w:r>
        <w:rPr>
          <w:rFonts w:ascii="Times New Roman" w:hAnsi="Times New Roman"/>
          <w:b/>
          <w:i w:val="false"/>
          <w:color w:val="000000"/>
          <w:sz w:val="22"/>
        </w:rPr>
        <w:t xml:space="preserve">Licensure by endorsement. </w:t>
      </w:r>
      <w:r>
        <w:rPr>
          <w:rFonts w:ascii="Times New Roman" w:hAnsi="Times New Roman"/>
          <w:b w:val="false"/>
          <w:i w:val="false"/>
          <w:color w:val="000000"/>
          <w:sz w:val="22"/>
        </w:rPr>
        <w:t>An applicant who has been a licensed dietitian under the laws of another jurisdiction may file an application for licensure by endorsement with the board office. The board may receive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921.6(1)</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requirements of rule </w:t>
      </w:r>
      <w:hyperlink r:id="rId8">
        <w:r>
          <w:rPr>
            <w:rStyle w:val="Hyperlink"/>
            <w:rFonts w:ascii="Times New Roman" w:hAnsi="Times New Roman"/>
            <w:b w:val="false"/>
            <w:i w:val="false"/>
            <w:color w:val="000000"/>
            <w:sz w:val="22"/>
          </w:rPr>
          <w:t>481—921.4</w:t>
        </w:r>
      </w:hyperlink>
      <w:r>
        <w:rPr>
          <w:rFonts w:ascii="Times New Roman" w:hAnsi="Times New Roman"/>
          <w:b w:val="false"/>
          <w:i w:val="false"/>
          <w:color w:val="000000"/>
          <w:sz w:val="22"/>
        </w:rPr>
        <w:t>(152A).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921.6(2)</w:t>
      </w:r>
      <w:r>
        <w:rPr>
          <w:rFonts w:ascii="Times New Roman" w:hAnsi="Times New Roman"/>
          <w:b w:val="false"/>
          <w:i w:val="false"/>
          <w:color w:val="000000"/>
          <w:sz w:val="22"/>
        </w:rPr>
        <w:t> </w:t>
      </w:r>
      <w:r>
        <w:rPr>
          <w:rFonts w:ascii="Times New Roman" w:hAnsi="Times New Roman"/>
          <w:b w:val="false"/>
          <w:i w:val="false"/>
          <w:color w:val="000000"/>
          <w:sz w:val="22"/>
        </w:rPr>
        <w:t>Provides verification of license(s) from every jurisdiction in which the applicant has been licensed, sent directly from the jurisdiction(s) to the board office.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481—921.7</w:t>
      </w:r>
      <w:r>
        <w:rPr>
          <w:rFonts w:ascii="Times New Roman" w:hAnsi="Times New Roman"/>
          <w:b/>
          <w:i w:val="false"/>
          <w:color w:val="000000"/>
          <w:sz w:val="22"/>
        </w:rPr>
        <w:t xml:space="preserve">(152A)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begins on the sixteenth day of the licensee’s birth month and ends on the fifteenth day of the licensee’s birth month two years later.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initial license issued by the board may be valid for an 18- to 29-month period. When an initial license is renewed, it will be placed on a two-year renewal period identified in subrule </w:t>
      </w:r>
      <w:r>
        <w:rPr>
          <w:rFonts w:ascii="Times New Roman" w:hAnsi="Times New Roman"/>
          <w:b w:val="false"/>
          <w:i w:val="false"/>
          <w:color w:val="000000"/>
          <w:sz w:val="22"/>
        </w:rPr>
        <w:t>921.9(1)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9">
        <w:r>
          <w:rPr>
            <w:rStyle w:val="Hyperlink"/>
            <w:rFonts w:ascii="Times New Roman" w:hAnsi="Times New Roman"/>
            <w:b w:val="false"/>
            <w:i w:val="false"/>
            <w:color w:val="000000"/>
            <w:sz w:val="22"/>
          </w:rPr>
          <w:t>481—922.2</w:t>
        </w:r>
      </w:hyperlink>
      <w:r>
        <w:rPr>
          <w:rFonts w:ascii="Times New Roman" w:hAnsi="Times New Roman"/>
          <w:b w:val="false"/>
          <w:i w:val="false"/>
          <w:color w:val="000000"/>
          <w:sz w:val="22"/>
        </w:rPr>
        <w:t xml:space="preserve">(152A) and the mandatory reporting requirements of subrule </w:t>
      </w:r>
      <w:r>
        <w:rPr>
          <w:rFonts w:ascii="Times New Roman" w:hAnsi="Times New Roman"/>
          <w:b w:val="false"/>
          <w:i w:val="false"/>
          <w:color w:val="000000"/>
          <w:sz w:val="22"/>
        </w:rPr>
        <w:t>921.9(4)</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and dependent adults in Iowa will complete the applicable department of health and human services training relating to the identification and reporting of child and dependent adult abuse as required by Iowa Code section </w:t>
      </w:r>
      <w:hyperlink r:id="rId10">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documentation of training completion should be maintained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is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rule </w:t>
      </w:r>
      <w:hyperlink r:id="rId11">
        <w:r>
          <w:rPr>
            <w:rStyle w:val="Hyperlink"/>
            <w:rFonts w:ascii="Times New Roman" w:hAnsi="Times New Roman"/>
            <w:b w:val="false"/>
            <w:i w:val="false"/>
            <w:color w:val="000000"/>
            <w:sz w:val="22"/>
          </w:rPr>
          <w:t>481—500.14</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921.9(4)</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a two-year license will be administratively issued. In the event the board receives adverse information on the renewal application, the renewal license will be issued but the board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921.7(6)</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A license not renewed by the expiration date will be assessed a late fee as specified in </w:t>
      </w:r>
      <w:hyperlink r:id="rId12">
        <w:r>
          <w:rPr>
            <w:rStyle w:val="Hyperlink"/>
            <w:rFonts w:ascii="Times New Roman" w:hAnsi="Times New Roman"/>
            <w:b w:val="false"/>
            <w:i w:val="false"/>
            <w:color w:val="000000"/>
            <w:sz w:val="22"/>
          </w:rPr>
          <w:t>481—subrule 507.6(3)</w:t>
        </w:r>
      </w:hyperlink>
      <w:r>
        <w:rPr>
          <w:rFonts w:ascii="Times New Roman" w:hAnsi="Times New Roman"/>
          <w:b w:val="false"/>
          <w:i w:val="false"/>
          <w:color w:val="000000"/>
          <w:sz w:val="22"/>
        </w:rPr>
        <w:t>. Completion of renewal requirements and submission of the late fee within the grace period are needed to renew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 not renewed by the end of the grace period is inactive. A licensee whose license is inactive continues to hold the privilege of licensure in Iowa, but may not practice as a dietitian in Iowa until the license is reactivated. A licensee who practices as a dietitian in the state of Iowa with an inactive license may be subject to disciplinary action by the board, injunctive action pursuant to Iowa Code section </w:t>
      </w:r>
      <w:hyperlink r:id="rId13">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14">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921.7(9)</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of a reactivated license. A licensee who reactivates the license in accordance with rule </w:t>
      </w:r>
      <w:hyperlink r:id="rId15">
        <w:r>
          <w:rPr>
            <w:rStyle w:val="Hyperlink"/>
            <w:rFonts w:ascii="Times New Roman" w:hAnsi="Times New Roman"/>
            <w:b w:val="false"/>
            <w:i w:val="false"/>
            <w:color w:val="000000"/>
            <w:sz w:val="22"/>
          </w:rPr>
          <w:t>481—921.8</w:t>
        </w:r>
      </w:hyperlink>
      <w:r>
        <w:rPr>
          <w:rFonts w:ascii="Times New Roman" w:hAnsi="Times New Roman"/>
          <w:b w:val="false"/>
          <w:i w:val="false"/>
          <w:color w:val="000000"/>
          <w:sz w:val="22"/>
        </w:rPr>
        <w:t>(17A,147,272C) will not be required to renew the license until the next renewal two years later if the license is reactivated within six months prior to the license renewal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921.8(1)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reactivation application and pay the reactivation fee as specified in </w:t>
      </w:r>
      <w:hyperlink r:id="rId16">
        <w:r>
          <w:rPr>
            <w:rStyle w:val="Hyperlink"/>
            <w:rFonts w:ascii="Times New Roman" w:hAnsi="Times New Roman"/>
            <w:b w:val="false"/>
            <w:i w:val="false"/>
            <w:color w:val="000000"/>
            <w:sz w:val="22"/>
          </w:rPr>
          <w:t>481—Chapter 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921.8(2)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dietetics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license(s) from every jurisdiction in which the applicant is or has been licensed and is or has been practicing during the time period the Iowa license was inactive, sent directly from the jurisdiction(s)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30 hours of continuing education within two years of the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license(s) from every jurisdiction in which the applicant is or has been licensed and is or has been practicing during the time period the Iowa license was inactive, sent directly from the jurisdiction(s)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60 hours of continuing education within two years of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17">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18">
        <w:r>
          <w:rPr>
            <w:rStyle w:val="Hyperlink"/>
            <w:rFonts w:ascii="Times New Roman" w:hAnsi="Times New Roman"/>
            <w:b w:val="false"/>
            <w:i w:val="false"/>
            <w:color w:val="000000"/>
            <w:sz w:val="22"/>
          </w:rPr>
          <w:t>481—921.8</w:t>
        </w:r>
      </w:hyperlink>
      <w:r>
        <w:rPr>
          <w:rFonts w:ascii="Times New Roman" w:hAnsi="Times New Roman"/>
          <w:b w:val="false"/>
          <w:i w:val="false"/>
          <w:color w:val="000000"/>
          <w:sz w:val="22"/>
        </w:rPr>
        <w:t>(17A,147,272C) prior to practicing dietetics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481—921.10</w:t>
      </w:r>
      <w:r>
        <w:rPr>
          <w:rFonts w:ascii="Times New Roman" w:hAnsi="Times New Roman"/>
          <w:b/>
          <w:i w:val="false"/>
          <w:color w:val="000000"/>
          <w:sz w:val="22"/>
        </w:rPr>
        <w:t xml:space="preserve">(152A,272C) </w:t>
      </w:r>
      <w:r>
        <w:rPr>
          <w:rFonts w:ascii="Times New Roman" w:hAnsi="Times New Roman"/>
          <w:b/>
          <w:i w:val="false"/>
          <w:color w:val="000000"/>
          <w:sz w:val="22"/>
        </w:rPr>
        <w:t xml:space="preserve">Telehealth visits. </w:t>
      </w:r>
      <w:r>
        <w:rPr>
          <w:rFonts w:ascii="Times New Roman" w:hAnsi="Times New Roman"/>
          <w:b w:val="false"/>
          <w:i w:val="false"/>
          <w:color w:val="000000"/>
          <w:sz w:val="22"/>
        </w:rPr>
        <w:t>A licensee may provide dietetic services to an individual or a group utilizing a telehealth visit if the dietetic services are provided in accordance with all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921.10(1)</w:t>
      </w:r>
      <w:r>
        <w:rPr>
          <w:rFonts w:ascii="Times New Roman" w:hAnsi="Times New Roman"/>
          <w:b w:val="false"/>
          <w:i w:val="false"/>
          <w:color w:val="000000"/>
          <w:sz w:val="22"/>
        </w:rPr>
        <w:t> </w:t>
      </w:r>
      <w:r>
        <w:rPr>
          <w:rFonts w:ascii="Times New Roman" w:hAnsi="Times New Roman"/>
          <w:b w:val="false"/>
          <w:i w:val="false"/>
          <w:color w:val="000000"/>
          <w:sz w:val="22"/>
        </w:rPr>
        <w:t>“Telehealth visit” means the provision of dietetic services by a licensee to an individual or a group using technology where the licensee and the individual or group are not at the same physical location for the therapy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921.10(2)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engaged in a telehealth visit will utilize technology that is secure and, pursuant to the Health Insurance Portability and Accountability Act of 1996, Pub.L. 104-191, August 21, 1996, 110 Stat. 1936, and any amendments as of March 22, 2024, HIPAA-compliant and that includes, at a minimum, audio or video equipment or both that allows two-way real-time interactive communication between the licensee and the individual or group. A licensee may use non-real-time technologies to prepare for a session or to communicate with an individual or a group between sessions.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921.10(3)</w:t>
      </w:r>
      <w:r>
        <w:rPr>
          <w:rFonts w:ascii="Times New Roman" w:hAnsi="Times New Roman"/>
          <w:b w:val="false"/>
          <w:i w:val="false"/>
          <w:color w:val="000000"/>
          <w:sz w:val="22"/>
        </w:rPr>
        <w:t> </w:t>
      </w:r>
      <w:r>
        <w:rPr>
          <w:rFonts w:ascii="Times New Roman" w:hAnsi="Times New Roman"/>
          <w:b w:val="false"/>
          <w:i w:val="false"/>
          <w:color w:val="000000"/>
          <w:sz w:val="22"/>
        </w:rPr>
        <w:t>A licensee engaged in a telehealth visit will be held to the same standard of care as a licensee who provides in-person dietetic services. A licensee will not utilize a telehealth visit if the standard of care for the particular services cannot be met by using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921.10(4)</w:t>
      </w:r>
      <w:r>
        <w:rPr>
          <w:rFonts w:ascii="Times New Roman" w:hAnsi="Times New Roman"/>
          <w:b w:val="false"/>
          <w:i w:val="false"/>
          <w:color w:val="000000"/>
          <w:sz w:val="22"/>
        </w:rPr>
        <w:t> </w:t>
      </w:r>
      <w:r>
        <w:rPr>
          <w:rFonts w:ascii="Times New Roman" w:hAnsi="Times New Roman"/>
          <w:b w:val="false"/>
          <w:i w:val="false"/>
          <w:color w:val="000000"/>
          <w:sz w:val="22"/>
        </w:rPr>
        <w:t>Any licensee who provides a telehealth visit to an individual or a group located in Iowa shall be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921.10(5)</w:t>
      </w:r>
      <w:r>
        <w:rPr>
          <w:rFonts w:ascii="Times New Roman" w:hAnsi="Times New Roman"/>
          <w:b w:val="false"/>
          <w:i w:val="false"/>
          <w:color w:val="000000"/>
          <w:sz w:val="22"/>
        </w:rPr>
        <w:t> </w:t>
      </w:r>
      <w:r>
        <w:rPr>
          <w:rFonts w:ascii="Times New Roman" w:hAnsi="Times New Roman"/>
          <w:b w:val="false"/>
          <w:i w:val="false"/>
          <w:color w:val="000000"/>
          <w:sz w:val="22"/>
        </w:rPr>
        <w:t>Prior to the first telehealth visit, a licensee is to obtain informed consent from the individual or group specific to the services that will be provided in a telehealth visit. At a minimum, the informed consent shall specifically inform the individual or group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risks and limitations of the use of technology to provide dietetics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potential for unauthorized access to protected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potential for disruption of technology during a telehealth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921.10(6)</w:t>
      </w:r>
      <w:r>
        <w:rPr>
          <w:rFonts w:ascii="Times New Roman" w:hAnsi="Times New Roman"/>
          <w:b w:val="false"/>
          <w:i w:val="false"/>
          <w:color w:val="000000"/>
          <w:sz w:val="22"/>
        </w:rPr>
        <w:t> </w:t>
      </w:r>
      <w:r>
        <w:rPr>
          <w:rFonts w:ascii="Times New Roman" w:hAnsi="Times New Roman"/>
          <w:b w:val="false"/>
          <w:i w:val="false"/>
          <w:color w:val="000000"/>
          <w:sz w:val="22"/>
        </w:rPr>
        <w:t>A licensee will identify in the clinical record when dietetic services are provided utilizing a telehealth visit.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4/4/86—published 4/23/86, effective 4/4/86]</w:t>
      </w:r>
    </w:p>
    <w:p>
      <w:pPr>
        <w:spacing w:before="0" w:after="0"/>
        <w:ind w:left="120"/>
        <w:jc w:val="center"/>
      </w:pPr>
      <w:r>
        <w:rPr>
          <w:rFonts w:ascii="Times New Roman" w:hAnsi="Times New Roman"/>
          <w:b w:val="false"/>
          <w:i w:val="false"/>
          <w:color w:val="000000"/>
          <w:sz w:val="21"/>
        </w:rPr>
        <w:t>[Filed 2/17/87, Notice 10/8/86—published 3/11/87, effective 4/15/87]</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10/27/88, Notice 8/24/88—published 11/16/88, effective 12/21/88]</w:t>
      </w:r>
    </w:p>
    <w:p>
      <w:pPr>
        <w:spacing w:before="0" w:after="0"/>
        <w:ind w:left="120"/>
        <w:jc w:val="center"/>
      </w:pPr>
      <w:r>
        <w:rPr>
          <w:rFonts w:ascii="Times New Roman" w:hAnsi="Times New Roman"/>
          <w:b w:val="false"/>
          <w:i w:val="false"/>
          <w:color w:val="000000"/>
          <w:sz w:val="21"/>
        </w:rPr>
        <w:t>[Filed 9/29/89, Notice 7/26/89—published 10/18/89, effective 11/22/89]</w:t>
      </w:r>
    </w:p>
    <w:p>
      <w:pPr>
        <w:spacing w:before="0" w:after="0"/>
        <w:ind w:left="120"/>
        <w:jc w:val="center"/>
      </w:pPr>
      <w:r>
        <w:rPr>
          <w:rFonts w:ascii="Times New Roman" w:hAnsi="Times New Roman"/>
          <w:b w:val="false"/>
          <w:i w:val="false"/>
          <w:color w:val="000000"/>
          <w:sz w:val="21"/>
        </w:rPr>
        <w:t>[Filed 5/11/90, Notice 4/4/90—published 5/30/90, effective 7/4/90]</w:t>
      </w:r>
    </w:p>
    <w:p>
      <w:pPr>
        <w:spacing w:before="0" w:after="0"/>
        <w:ind w:left="120"/>
        <w:jc w:val="center"/>
      </w:pPr>
      <w:r>
        <w:rPr>
          <w:rFonts w:ascii="Times New Roman" w:hAnsi="Times New Roman"/>
          <w:b w:val="false"/>
          <w:i w:val="false"/>
          <w:color w:val="000000"/>
          <w:sz w:val="21"/>
        </w:rPr>
        <w:t>[Filed 10/11/91, Notice 8/21/91—published 10/30/91, effective 12/4/91]</w:t>
      </w:r>
    </w:p>
    <w:p>
      <w:pPr>
        <w:spacing w:before="0" w:after="0"/>
        <w:ind w:left="120"/>
        <w:jc w:val="center"/>
      </w:pPr>
      <w:r>
        <w:rPr>
          <w:rFonts w:ascii="Times New Roman" w:hAnsi="Times New Roman"/>
          <w:b w:val="false"/>
          <w:i w:val="false"/>
          <w:color w:val="000000"/>
          <w:sz w:val="21"/>
        </w:rPr>
        <w:t>[Filed 4/23/92, Notice 3/4/92—published 5/13/92, effective 6/17/92]</w:t>
      </w:r>
    </w:p>
    <w:p>
      <w:pPr>
        <w:spacing w:before="0" w:after="0"/>
        <w:ind w:left="120"/>
        <w:jc w:val="center"/>
      </w:pPr>
      <w:r>
        <w:rPr>
          <w:rFonts w:ascii="Times New Roman" w:hAnsi="Times New Roman"/>
          <w:b w:val="false"/>
          <w:i w:val="false"/>
          <w:color w:val="000000"/>
          <w:sz w:val="21"/>
        </w:rPr>
        <w:t>[Filed emergency 7/6/92—published 7/22/92, effective 7/6/92]</w:t>
      </w:r>
    </w:p>
    <w:p>
      <w:pPr>
        <w:spacing w:before="0" w:after="0"/>
        <w:ind w:left="120"/>
        <w:jc w:val="center"/>
      </w:pPr>
      <w:r>
        <w:rPr>
          <w:rFonts w:ascii="Times New Roman" w:hAnsi="Times New Roman"/>
          <w:b w:val="false"/>
          <w:i w:val="false"/>
          <w:color w:val="000000"/>
          <w:sz w:val="21"/>
        </w:rPr>
        <w:t>[Filed 4/7/95, Notice 1/4/95—published 4/26/95, effective 5/31/95]</w:t>
      </w:r>
    </w:p>
    <w:p>
      <w:pPr>
        <w:spacing w:before="0" w:after="0"/>
        <w:ind w:left="120"/>
        <w:jc w:val="center"/>
      </w:pPr>
      <w:r>
        <w:rPr>
          <w:rFonts w:ascii="Times New Roman" w:hAnsi="Times New Roman"/>
          <w:b w:val="false"/>
          <w:i w:val="false"/>
          <w:color w:val="000000"/>
          <w:sz w:val="21"/>
        </w:rPr>
        <w:t>[Filed 11/25/98, Notice 10/21/98—published 12/16/98, effective 1/20/99]</w:t>
      </w:r>
    </w:p>
    <w:p>
      <w:pPr>
        <w:spacing w:before="0" w:after="0"/>
        <w:ind w:left="120"/>
        <w:jc w:val="center"/>
      </w:pPr>
      <w:r>
        <w:rPr>
          <w:rFonts w:ascii="Times New Roman" w:hAnsi="Times New Roman"/>
          <w:b w:val="false"/>
          <w:i w:val="false"/>
          <w:color w:val="000000"/>
          <w:sz w:val="21"/>
        </w:rPr>
        <w:t>[Filed 6/11/99, Notice 4/7/99—published 6/30/99, effective 8/4/99]</w:t>
      </w:r>
    </w:p>
    <w:p>
      <w:pPr>
        <w:spacing w:before="0" w:after="0"/>
        <w:ind w:left="120"/>
        <w:jc w:val="center"/>
      </w:pPr>
      <w:r>
        <w:rPr>
          <w:rFonts w:ascii="Times New Roman" w:hAnsi="Times New Roman"/>
          <w:b w:val="false"/>
          <w:i w:val="false"/>
          <w:color w:val="000000"/>
          <w:sz w:val="21"/>
        </w:rPr>
        <w:t>[Filed 12/23/99, Notice 10/6/99—published 1/12/00, effective 2/16/00]</w:t>
      </w:r>
    </w:p>
    <w:p>
      <w:pPr>
        <w:spacing w:before="0" w:after="0"/>
        <w:ind w:left="120"/>
        <w:jc w:val="center"/>
      </w:pPr>
      <w:r>
        <w:rPr>
          <w:rFonts w:ascii="Times New Roman" w:hAnsi="Times New Roman"/>
          <w:b w:val="false"/>
          <w:i w:val="false"/>
          <w:color w:val="000000"/>
          <w:sz w:val="21"/>
        </w:rPr>
        <w:t>[Filed 10/13/00, Notice 8/23/00—published 11/1/00, effective 12/6/00]</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6/7/02, Notice 4/3/02—published 6/26/02, effective 7/31/02]</w:t>
      </w:r>
    </w:p>
    <w:p>
      <w:pPr>
        <w:spacing w:before="0" w:after="0"/>
        <w:ind w:left="120"/>
        <w:jc w:val="center"/>
      </w:pPr>
      <w:r>
        <w:rPr>
          <w:rFonts w:ascii="Times New Roman" w:hAnsi="Times New Roman"/>
          <w:b w:val="false"/>
          <w:i w:val="false"/>
          <w:color w:val="000000"/>
          <w:sz w:val="21"/>
        </w:rPr>
        <w:t>[Filed 6/19/03, Notice 4/2/03—published 7/9/03, effective 8/13/03]</w:t>
      </w:r>
    </w:p>
    <w:p>
      <w:pPr>
        <w:spacing w:before="0" w:after="0"/>
        <w:ind w:left="120"/>
        <w:jc w:val="center"/>
      </w:pPr>
      <w:r>
        <w:rPr>
          <w:rFonts w:ascii="Times New Roman" w:hAnsi="Times New Roman"/>
          <w:b w:val="false"/>
          <w:i w:val="false"/>
          <w:color w:val="000000"/>
          <w:sz w:val="21"/>
        </w:rPr>
        <w:t>[Filed 6/17/04, Notice 3/31/04—published 7/7/04, effective 8/11/04]</w:t>
      </w:r>
    </w:p>
    <w:p>
      <w:pPr>
        <w:spacing w:before="0" w:after="0"/>
        <w:ind w:left="120"/>
        <w:jc w:val="center"/>
      </w:pPr>
      <w:r>
        <w:rPr>
          <w:rFonts w:ascii="Times New Roman" w:hAnsi="Times New Roman"/>
          <w:b w:val="false"/>
          <w:i w:val="false"/>
          <w:color w:val="000000"/>
          <w:sz w:val="21"/>
        </w:rPr>
        <w:t>[Filed 6/15/05, Notice 3/30/05—published 7/6/05, effective 8/10/05]</w:t>
      </w:r>
    </w:p>
    <w:p>
      <w:pPr>
        <w:spacing w:before="0" w:after="0"/>
        <w:ind w:left="120"/>
        <w:jc w:val="center"/>
      </w:pPr>
      <w:r>
        <w:rPr>
          <w:rFonts w:ascii="Times New Roman" w:hAnsi="Times New Roman"/>
          <w:b w:val="false"/>
          <w:i w:val="false"/>
          <w:color w:val="000000"/>
          <w:sz w:val="21"/>
        </w:rPr>
        <w:t>[Filed 12/2/05, Notice 10/12/05—published 1/4/06, effective 2/8/06]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9606B</w:t>
      </w:r>
      <w:r>
        <w:rPr>
          <w:rFonts w:ascii="Times New Roman" w:hAnsi="Times New Roman"/>
          <w:b w:val="false"/>
          <w:i w:val="false"/>
          <w:color w:val="000000"/>
          <w:sz w:val="21"/>
        </w:rPr>
        <w:t xml:space="preserve"> (Notice ARC 9426B,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1835C</w:t>
      </w:r>
      <w:r>
        <w:rPr>
          <w:rFonts w:ascii="Times New Roman" w:hAnsi="Times New Roman"/>
          <w:b w:val="false"/>
          <w:i w:val="false"/>
          <w:color w:val="000000"/>
          <w:sz w:val="21"/>
        </w:rPr>
        <w:t xml:space="preserve"> (Notice ARC 1728C, IAB 11/12/14)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5068C</w:t>
      </w:r>
      <w:r>
        <w:rPr>
          <w:rFonts w:ascii="Times New Roman" w:hAnsi="Times New Roman"/>
          <w:b w:val="false"/>
          <w:i w:val="false"/>
          <w:color w:val="000000"/>
          <w:sz w:val="21"/>
        </w:rPr>
        <w:t xml:space="preserve"> (Notice ARC 4935C, IAB 2/26/20)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5405C</w:t>
      </w:r>
      <w:r>
        <w:rPr>
          <w:rFonts w:ascii="Times New Roman" w:hAnsi="Times New Roman"/>
          <w:b w:val="false"/>
          <w:i w:val="false"/>
          <w:color w:val="000000"/>
          <w:sz w:val="21"/>
        </w:rPr>
        <w:t xml:space="preserve"> (Notice ARC 5156C, IAB 8/26/20)</w:t>
      </w:r>
      <w:r>
        <w:rPr>
          <w:rFonts w:ascii="Times New Roman" w:hAnsi="Times New Roman"/>
          <w:b w:val="false"/>
          <w:i w:val="false"/>
          <w:color w:val="000000"/>
          <w:sz w:val="21"/>
        </w:rPr>
        <w:t>, IAB 1/27/21, effective 3/3/21]</w:t>
      </w:r>
    </w:p>
    <w:p>
      <w:pPr>
        <w:spacing w:before="0" w:after="0"/>
        <w:ind w:left="120"/>
        <w:jc w:val="center"/>
      </w:pPr>
      <w:r>
        <w:rPr>
          <w:rFonts w:ascii="Times New Roman" w:hAnsi="Times New Roman"/>
          <w:b w:val="false"/>
          <w:i w:val="false"/>
          <w:color w:val="000000"/>
          <w:sz w:val="21"/>
        </w:rPr>
        <w:t>[Filed ARC 5774C</w:t>
      </w:r>
      <w:r>
        <w:rPr>
          <w:rFonts w:ascii="Times New Roman" w:hAnsi="Times New Roman"/>
          <w:b w:val="false"/>
          <w:i w:val="false"/>
          <w:color w:val="000000"/>
          <w:sz w:val="21"/>
        </w:rPr>
        <w:t xml:space="preserve"> (Notice ARC 5452C,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7002C</w:t>
      </w:r>
      <w:r>
        <w:rPr>
          <w:rFonts w:ascii="Times New Roman" w:hAnsi="Times New Roman"/>
          <w:b w:val="false"/>
          <w:i w:val="false"/>
          <w:color w:val="000000"/>
          <w:sz w:val="21"/>
        </w:rPr>
        <w:t xml:space="preserve"> (Notice ARC 6655C,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7925C</w:t>
      </w:r>
      <w:r>
        <w:rPr>
          <w:rFonts w:ascii="Times New Roman" w:hAnsi="Times New Roman"/>
          <w:b w:val="false"/>
          <w:i w:val="false"/>
          <w:color w:val="000000"/>
          <w:sz w:val="21"/>
        </w:rPr>
        <w:t xml:space="preserve"> (Notice ARC 7542C,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91.8.pdf" Type="http://schemas.openxmlformats.org/officeDocument/2006/relationships/hyperlink" Id="rId4"/>
    <Relationship TargetMode="External" Target="https://www.legis.iowa.gov/docs/iac/rule/481.506.31.pdf" Type="http://schemas.openxmlformats.org/officeDocument/2006/relationships/hyperlink" Id="rId5"/>
    <Relationship TargetMode="External" Target="https://www.legis.iowa.gov/docs/iac/rule/481.507.6.pdf" Type="http://schemas.openxmlformats.org/officeDocument/2006/relationships/hyperlink" Id="rId6"/>
    <Relationship TargetMode="External" Target="https://www.legis.iowa.gov/docs/iac/rule/481.921.1.pdf" Type="http://schemas.openxmlformats.org/officeDocument/2006/relationships/hyperlink" Id="rId7"/>
    <Relationship TargetMode="External" Target="https://www.legis.iowa.gov/docs/iac/rule/481.921.4.pdf" Type="http://schemas.openxmlformats.org/officeDocument/2006/relationships/hyperlink" Id="rId8"/>
    <Relationship TargetMode="External" Target="https://www.legis.iowa.gov/docs/iac/rule/481.922.2.pdf" Type="http://schemas.openxmlformats.org/officeDocument/2006/relationships/hyperlink" Id="rId9"/>
    <Relationship TargetMode="External" Target="https://www.legis.iowa.gov/docs/ico/chapter/232.pdf" Type="http://schemas.openxmlformats.org/officeDocument/2006/relationships/hyperlink" Id="rId10"/>
    <Relationship TargetMode="External" Target="https://www.legis.iowa.gov/docs/iac/rule/481.500.14.pdf" Type="http://schemas.openxmlformats.org/officeDocument/2006/relationships/hyperlink" Id="rId11"/>
    <Relationship TargetMode="External" Target="https://www.legis.iowa.gov/docs/iac/rule/481.507.6.pdf" Type="http://schemas.openxmlformats.org/officeDocument/2006/relationships/hyperlink" Id="rId12"/>
    <Relationship TargetMode="External" Target="https://www.legis.iowa.gov/docs/ico/chapter/147.pdf" Type="http://schemas.openxmlformats.org/officeDocument/2006/relationships/hyperlink" Id="rId13"/>
    <Relationship TargetMode="External" Target="https://www.legis.iowa.gov/docs/ico/chapter/147.pdf" Type="http://schemas.openxmlformats.org/officeDocument/2006/relationships/hyperlink" Id="rId14"/>
    <Relationship TargetMode="External" Target="https://www.legis.iowa.gov/docs/iac/rule/481.921.8.pdf" Type="http://schemas.openxmlformats.org/officeDocument/2006/relationships/hyperlink" Id="rId15"/>
    <Relationship TargetMode="External" Target="https://www.legis.iowa.gov/docs/iac/chapter/481.507.pdf" Type="http://schemas.openxmlformats.org/officeDocument/2006/relationships/hyperlink" Id="rId16"/>
    <Relationship TargetMode="External" Target="https://www.legis.iowa.gov/docs/iac/rule/481.506.31.pdf" Type="http://schemas.openxmlformats.org/officeDocument/2006/relationships/hyperlink" Id="rId17"/>
    <Relationship TargetMode="External" Target="https://www.legis.iowa.gov/docs/iac/rule/481.921.8.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147.pdf" Type="http://schemas.openxmlformats.org/officeDocument/2006/relationships/hyperlink" Id="rId20"/>
    <Relationship TargetMode="External" Target="https://www.legis.iowa.gov/docs/ico/chapter/152A.pdf" Type="http://schemas.openxmlformats.org/officeDocument/2006/relationships/hyperlink" Id="rId21"/>
    <Relationship TargetMode="External" Target="https://www.legis.iowa.gov/docs/ico/chapter/272C.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