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901</w:t>
      </w:r>
    </w:p>
    <w:p>
      <w:pPr>
        <w:spacing w:before="0" w:after="0"/>
        <w:ind w:left="120"/>
        <w:jc w:val="center"/>
      </w:pPr>
      <w:r>
        <w:rPr>
          <w:rFonts w:ascii="Times New Roman" w:hAnsi="Times New Roman"/>
          <w:b w:val="false"/>
          <w:i w:val="false"/>
          <w:color w:val="000000"/>
          <w:sz w:val="21"/>
        </w:rPr>
        <w:t>LICENSURE OF FUNERAL DIRECTORS, FUNERAL ESTABLISHMENTS, AND</w:t>
      </w:r>
      <w:r>
        <w:br/>
      </w:r>
      <w:r>
        <w:rPr>
          <w:rFonts w:ascii="Times New Roman" w:hAnsi="Times New Roman"/>
          <w:b w:val="false"/>
          <w:i w:val="false"/>
          <w:color w:val="000000"/>
          <w:sz w:val="21"/>
        </w:rPr>
        <w:t>CREMATION ESTABLISHMENTS</w:t>
      </w:r>
    </w:p>
    <w:p>
      <w:pPr>
        <w:spacing w:before="0" w:after="0"/>
        <w:ind w:left="120"/>
        <w:jc w:val="center"/>
      </w:pPr>
      <w:r>
        <w:rPr>
          <w:rFonts w:ascii="Times New Roman" w:hAnsi="Times New Roman"/>
          <w:b w:val="false"/>
          <w:i w:val="false"/>
          <w:color w:val="000000"/>
          <w:sz w:val="14"/>
        </w:rPr>
        <w:t>[Prior to 9/21/88, see Health Department[470] Ch 147]</w:t>
      </w:r>
    </w:p>
    <w:p>
      <w:pPr>
        <w:spacing w:before="0" w:after="0"/>
        <w:ind w:left="120"/>
        <w:jc w:val="center"/>
      </w:pPr>
      <w:r>
        <w:rPr>
          <w:rFonts w:ascii="Times New Roman" w:hAnsi="Times New Roman"/>
          <w:b w:val="false"/>
          <w:i w:val="false"/>
          <w:color w:val="000000"/>
          <w:sz w:val="14"/>
        </w:rPr>
        <w:t>[Prior to 7/10/02, see 645—100.9(156) and 645—100.10(156)]</w:t>
      </w:r>
    </w:p>
    <w:p>
      <w:pPr>
        <w:spacing w:before="0" w:after="0"/>
        <w:ind w:left="120"/>
        <w:jc w:val="center"/>
      </w:pPr>
      <w:r>
        <w:rPr>
          <w:rFonts w:ascii="Times New Roman" w:hAnsi="Times New Roman"/>
          <w:b w:val="false"/>
          <w:i w:val="false"/>
          <w:color w:val="000000"/>
          <w:sz w:val="14"/>
        </w:rPr>
        <w:t>[Prior to 9/18/24, see Professional Licensure Division[645] Ch 101]</w:t>
      </w:r>
    </w:p>
    <w:p>
      <w:pPr>
        <w:spacing w:before="0" w:after="0"/>
        <w:ind w:left="120"/>
        <w:jc w:val="both"/>
      </w:pPr>
      <w:r>
        <w:rPr>
          <w:rFonts w:ascii="Times New Roman" w:hAnsi="Times New Roman"/>
          <w:b/>
          <w:i w:val="false"/>
          <w:color w:val="000000"/>
          <w:sz w:val="22"/>
        </w:rPr>
        <w:t>481—901.1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a change of controlling interest ((1) an interest in a partnership of greater than 50 percent; or (2) greater than 50 percent of the issued and outstanding shares of a stock of a corporation) in a funeral establishment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time” </w:t>
      </w:r>
      <w:r>
        <w:rPr>
          <w:rFonts w:ascii="Times New Roman" w:hAnsi="Times New Roman"/>
          <w:b w:val="false"/>
          <w:i w:val="false"/>
          <w:color w:val="000000"/>
          <w:sz w:val="22"/>
        </w:rPr>
        <w:t>means a minimum of a 35-hour work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funeral director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mortuary science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Safety and Health Act” </w:t>
      </w:r>
      <w:r>
        <w:rPr>
          <w:rFonts w:ascii="Times New Roman" w:hAnsi="Times New Roman"/>
          <w:b w:val="false"/>
          <w:i w:val="false"/>
          <w:color w:val="000000"/>
          <w:sz w:val="22"/>
        </w:rPr>
        <w:t>means the Occupational Safety and Health Act of 1970, 29 U.S.C. §651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“Outer burial container” </w:t>
      </w:r>
      <w:r>
        <w:rPr>
          <w:rFonts w:ascii="Times New Roman" w:hAnsi="Times New Roman"/>
          <w:b w:val="false"/>
          <w:i w:val="false"/>
          <w:color w:val="000000"/>
          <w:sz w:val="22"/>
        </w:rPr>
        <w:t>means any container which is designed for placement in the ground around a casket or an urn including, but not limited to, containers commonly known as burial vaults, urn vaults, grave boxes, grave liners, and lawn crypts.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481—901.11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mortuary science to an applicant who is currently licensed in another state which has a mutual agreement with the Iowa board of mortuary science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481—901.2</w:t>
      </w:r>
      <w:r>
        <w:rPr>
          <w:rFonts w:ascii="Times New Roman" w:hAnsi="Times New Roman"/>
          <w:b/>
          <w:i w:val="false"/>
          <w:color w:val="000000"/>
          <w:sz w:val="22"/>
        </w:rPr>
        <w:t xml:space="preserve">(156)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eligible to apply for a license to practice mortuary science by the board pursuant to </w:t>
      </w:r>
      <w:hyperlink r:id="rId6">
        <w:r>
          <w:rPr>
            <w:rStyle w:val="Hyperlink"/>
            <w:rFonts w:ascii="Times New Roman" w:hAnsi="Times New Roman"/>
            <w:b w:val="false"/>
            <w:i w:val="false"/>
            <w:color w:val="000000"/>
            <w:sz w:val="22"/>
          </w:rPr>
          <w:t>subrule 901.2(2)</w:t>
        </w:r>
      </w:hyperlink>
      <w:r>
        <w:rPr>
          <w:rFonts w:ascii="Times New Roman" w:hAnsi="Times New Roman"/>
          <w:b w:val="false"/>
          <w:i w:val="false"/>
          <w:color w:val="000000"/>
          <w:sz w:val="22"/>
        </w:rPr>
        <w:t xml:space="preserve"> when the applicant has completed the educational requirements and examination requirements, followed by a completed internship as prescribed below, in the following alphabetical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60 hours of college credit as indicated on the transcript from a regionally accredited college or university with a minimum of a 2.0 or “C” grade point average. The 60 college semester hours will not include any technical mortuary science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program in mortuary science from a school accredited by the American Board of Funeral Service Education;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college course of at least one semester hour or equivalent in current Iowa law and rules covering mortuary science content areas including, but not limited to, Iowa law and rules governing the practice of mortuary science, cremation, vital statistics, cemeteries and preneed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The board will accept a certificate of examination issued by the International Conference of Funeral Service Examining Boards, Inc., indicating a passing score on both the arts and sciences portions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Internship requirements as outlined in rule </w:t>
      </w:r>
      <w:hyperlink r:id="rId7">
        <w:r>
          <w:rPr>
            <w:rStyle w:val="Hyperlink"/>
            <w:rFonts w:ascii="Times New Roman" w:hAnsi="Times New Roman"/>
            <w:b w:val="false"/>
            <w:i w:val="false"/>
            <w:color w:val="000000"/>
            <w:sz w:val="22"/>
          </w:rPr>
          <w:t>481—901.3</w:t>
        </w:r>
      </w:hyperlink>
      <w:r>
        <w:rPr>
          <w:rFonts w:ascii="Times New Roman" w:hAnsi="Times New Roman"/>
          <w:b w:val="false"/>
          <w:i w:val="false"/>
          <w:color w:val="000000"/>
          <w:sz w:val="22"/>
        </w:rPr>
        <w:t>(147,156).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complete an online application packet on the Iowa board of mortuary science website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complete the licensure by endorsement application.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that is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8">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will not be considered until official copies of the academic transcripts have been directly transmitted from the college to the board office that demonstrate the applicant has completed a program at an approved college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were issued their initial licenses within six months prior to the renewal will not be required to renew their licenses until the renewal month two years later.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will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val="false"/>
          <w:color w:val="000000"/>
          <w:sz w:val="22"/>
        </w:rPr>
        <w:t>Foreign-trained funeral directors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A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mortuary science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481—901.3</w:t>
      </w:r>
      <w:r>
        <w:rPr>
          <w:rFonts w:ascii="Times New Roman" w:hAnsi="Times New Roman"/>
          <w:b/>
          <w:i w:val="false"/>
          <w:color w:val="000000"/>
          <w:sz w:val="22"/>
        </w:rPr>
        <w:t xml:space="preserve">(147,156) </w:t>
      </w:r>
      <w:r>
        <w:rPr>
          <w:rFonts w:ascii="Times New Roman" w:hAnsi="Times New Roman"/>
          <w:b/>
          <w:i w:val="false"/>
          <w:color w:val="000000"/>
          <w:sz w:val="22"/>
        </w:rPr>
        <w:t xml:space="preserve">Internship and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Internship.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must serve a minimum of one year of internship under the direct supervision of an Iowa board-certified preceptor. The beginning and ending dates of the internship will be indicated on the internship certificate. The intern will engage in the practice of mortuary science only during the time indicated on the internship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be a full-time employee with the funeral establishment at the site of internship except as provided in </w:t>
      </w:r>
      <w:hyperlink r:id="rId9">
        <w:r>
          <w:rPr>
            <w:rStyle w:val="Hyperlink"/>
            <w:rFonts w:ascii="Times New Roman" w:hAnsi="Times New Roman"/>
            <w:b w:val="false"/>
            <w:i w:val="false"/>
            <w:color w:val="000000"/>
            <w:sz w:val="22"/>
          </w:rPr>
          <w:t>paragraph 901.3(2)</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will permit any person in the funeral director’s employ or under the funeral director’s supervision or control to serve an internship in funeral directing unless that person has a certificate of registration as a registered intern from the department of inspections, appeals, and licensing. The registration will be posted in a conspicuous place in the intern’s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Registered interns will not advertise or hold themselves out as funeral directors or use the degree F.D. or any other title or abbreviation indicating that the intern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intern will, during the internship, complete the requirements outlined in </w:t>
      </w:r>
      <w:hyperlink r:id="rId10">
        <w:r>
          <w:rPr>
            <w:rStyle w:val="Hyperlink"/>
            <w:rFonts w:ascii="Times New Roman" w:hAnsi="Times New Roman"/>
            <w:b w:val="false"/>
            <w:i w:val="false"/>
            <w:color w:val="000000"/>
            <w:sz w:val="22"/>
          </w:rPr>
          <w:t>subrule 901.3(3)</w:t>
        </w:r>
      </w:hyperlink>
      <w:r>
        <w:rPr>
          <w:rFonts w:ascii="Times New Roman" w:hAnsi="Times New Roman"/>
          <w:b w:val="false"/>
          <w:i w:val="false"/>
          <w:color w:val="000000"/>
          <w:sz w:val="22"/>
        </w:rPr>
        <w:t>, including to embalm not fewer than 25 human remains and direct or assist in the direction of not fewer than 25 funerals under the direct supervision of the certified preceptor and to submit reports on forms furnished by the department of inspections, appeals, and licensing. Work on the first five embalming cases, first five funeral arrangements, and first five funeral or memorial services must be completed in the physical presence of the preceptor. The first 12 embalming cases and the first 12 funeral case reports must be completed and submitted by the completion of the sixth month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Before being eligible for licensure, the intern must have filed the 25 completed embalming and funeral directing case reports and a 6-month and a 12-month evaluation form with the department of inspections, appeals, and licensing. These reports will be answered in full and signed by both the intern and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for any valid reason, the board determines that the education a registered intern is receiving under the supervision of the present preceptor might be detrimental to the intern or the profession at large, the intern may be required to serve the remainder of the internship under the supervision of a licensed funeral director who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an internship may be extended if the board determines that the intern requires additional time or supervision in order to meet the minimum proficiency in the practice of mortuary science.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views a one-year internship completed in a consecutive 12-month period as the best training option. If an internship is interrupted, the internship must be completed within 24 months of the date it started in order to be readily accepted by the board. Internships that are not completed within 24 months will be preapproved by the board on such terms as the board deems reasonable under the circumstances. The board may require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college course or continuing education course covering mortuary science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case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Extension of an internship up to an additional 12 months depending on such factors as the number of months completed during the internship, length of time that has lapsed since the intern was actively involved in the internship program, and the experience attained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Application for change of preceptor or any other alteration must be made in writing and approval granted by the board before the status of the intern is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intern will complete on a form provided by the board a confidential evaluation of the preceptorship program at the end of the internship. This form will be submitted before a funeral director license is issued to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intern must be approved and licensed following a successful internship before the intern may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preceptor must have completed a training course within five years prior to accepting an intern. This training course will cover Iowa law and rule content areas including, but not limited to, Iowa law and rules governing licensure and the practice of mortuary science and human resource issues. The training course may be counted toward the continuing education hours required for the licensure biennium in which the training course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duly Iowa-licensed funeral director who has been practicing for a minimum of five years and who has not had any formal disciplinary action within the past five years with the board of mortuary science and has completed a preceptor training course detailed in paragraph </w:t>
      </w:r>
      <w:r>
        <w:rPr>
          <w:rFonts w:ascii="Times New Roman" w:hAnsi="Times New Roman"/>
          <w:b w:val="false"/>
          <w:i w:val="false"/>
          <w:color w:val="000000"/>
          <w:sz w:val="22"/>
        </w:rPr>
        <w:t>901.3(2)</w:t>
      </w:r>
      <w:r>
        <w:rPr>
          <w:rFonts w:ascii="Times New Roman" w:hAnsi="Times New Roman"/>
          <w:b w:val="false"/>
          <w:i/>
          <w:color w:val="000000"/>
          <w:sz w:val="22"/>
        </w:rPr>
        <w:t>“a”</w:t>
      </w:r>
      <w:r>
        <w:rPr>
          <w:rFonts w:ascii="Times New Roman" w:hAnsi="Times New Roman"/>
          <w:b w:val="false"/>
          <w:i w:val="false"/>
          <w:color w:val="000000"/>
          <w:sz w:val="22"/>
        </w:rPr>
        <w:t xml:space="preserve"> will be eligible to be a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will be affiliated with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preceptor will certify that the intern engages in the practice of mortuary science only during the time frame designated on the official intern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preceptor’s duties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intern completes the training program outlined in subrule </w:t>
      </w:r>
      <w:r>
        <w:rPr>
          <w:rFonts w:ascii="Times New Roman" w:hAnsi="Times New Roman"/>
          <w:b w:val="false"/>
          <w:i w:val="false"/>
          <w:color w:val="000000"/>
          <w:sz w:val="22"/>
        </w:rPr>
        <w:t>901.3(3)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supervise the first five embalming cases, first five funeral arrangements, and first five funeral or memorial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Familiarize the intern in the areas specified by the preceptor training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 add appropriate comments to, and sign each of the 25 embalming reports and the 25 funeral directing reports completed by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Complete a written six-month report of the intern on a form provided by the board. This report is to be reviewed with and signed by the intern and submitted to the board before the end of the seventh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the end of the internship, complete a confidential evaluation of the intern on a form provided by the board. This evaluation will be submitted within two weeks of the end of the internship. The 12-month report will be submitted to the board for review and approval prior to the board’s approval of the intern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of a preceptor to fulfill the requirements set forth by the board, including failure to remit the required six-month progress report, as well as the final evaluation, will result in an investigation of the preceptor by the board and may result in actions which may include, but not be limited to, the loss of preceptor status for current and future interns or discipline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preceptor does not serve the entire year, the board will evaluate the situation; and if a certified preceptor is not available, a licensed funeral director may serve with the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licensed funeral director or licensed funeral establishment will have more than one intern funeral director for the first 100 human remains embalmed or funerals conducted per year, with a maximum of two interns per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With prior board approval, an intern may serve under the supervision of more than one preceptor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single preceptor must act in the role of the primary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primary preceptor is responsible for coordinating all intern training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intern will be a full-time employee of the funeral establishment of the primary preceptor; however, compensation may be shared between preceptors.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primary preceptor may make arrangements with a maximum of two additional preceptors to share preceptor responsibilities for such purposes as providing an intern with a higher-volume practice or a broader range of intern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preceptor will be individually responsible for directly supervising the intern’s activities performed under the preceptor’s guidance, but the primary preceptor remains responsible for coordinating the intern’s activities and submitting all forms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Intern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is knowledgeable of each of the following items during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Federal Trade Commission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benefits of the Social Security and Veterans Health 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Iowa funeral law and forms (for example, preneed in Iowa Code chapter </w:t>
      </w:r>
      <w:hyperlink r:id="rId1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death certificates and Iowa burial transit permits in Iowa Code chapter </w:t>
      </w:r>
      <w:hyperlink r:id="rId1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authorized person in Iowa Code chapter </w:t>
      </w:r>
      <w:hyperlink r:id="rId13">
        <w:r>
          <w:rPr>
            <w:rStyle w:val="Hyperlink"/>
            <w:rFonts w:ascii="Times New Roman" w:hAnsi="Times New Roman"/>
            <w:b w:val="false"/>
            <w:i w:val="false"/>
            <w:color w:val="000000"/>
            <w:sz w:val="22"/>
          </w:rPr>
          <w:t>144C</w:t>
        </w:r>
      </w:hyperlink>
      <w:r>
        <w:rPr>
          <w:rFonts w:ascii="Times New Roman" w:hAnsi="Times New Roman"/>
          <w:b w:val="false"/>
          <w:i w:val="false"/>
          <w:color w:val="000000"/>
          <w:sz w:val="22"/>
        </w:rPr>
        <w:t>, Iowa department of inspections, appeals, and licensing law and rules governing funeral practice, and the board’s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board-approved preceptor will ensure that the intern performs each of the following under the preceptor’s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Assists with or performs a minimum of ten transfers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Performs 25 embalmings of human remains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permission to embalm.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of human remains on preparation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Pre-embalming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Primary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Setting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Selection of injection/drainage sites and raising those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Selection and mixing of embalming chemicals and operation of the embalming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Injection and drainage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Cavity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Suturing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Prepares a minimum of ten human remains for viewing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Assists with cremation procedures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required cremation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human remains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Makes complete funeral arrangements with a minimum of ten families to include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Presentation of funeral goods, products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payment options for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Contacting third-party suppliers of goods and services, such as clergy, cemetery personnel, outer burial container provider, cremation establishment, florist, and musicians.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the obituary.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Presentation of general price list and associated price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Preparation and presentation of statement of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Coordinates, at a minimum, ten visitations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the chapel, visitation room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Setting up floral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up register book and memorial folders or prayer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Directs a minimum of 25 funerals or memorial services to include,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Greeting funeral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casket 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Preparing for funeral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Driving a vehicle in procession.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at graveside committal.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Transporting flowers.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Coordinating with officiant and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481—901.4</w:t>
      </w:r>
      <w:r>
        <w:rPr>
          <w:rFonts w:ascii="Times New Roman" w:hAnsi="Times New Roman"/>
          <w:b/>
          <w:i w:val="false"/>
          <w:color w:val="000000"/>
          <w:sz w:val="22"/>
        </w:rPr>
        <w:t xml:space="preserve">(156) </w:t>
      </w:r>
      <w:r>
        <w:rPr>
          <w:rFonts w:ascii="Times New Roman" w:hAnsi="Times New Roman"/>
          <w:b/>
          <w:i w:val="false"/>
          <w:color w:val="000000"/>
          <w:sz w:val="22"/>
        </w:rPr>
        <w:t xml:space="preserve">Student practicum.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val="false"/>
          <w:color w:val="000000"/>
          <w:sz w:val="22"/>
        </w:rPr>
        <w:t>A student may participate in a student practicum in a licensed funeral establishment in Iowa if the student’s school is accredited by and in good standing with the American Board of Funeral Service Education (ABFSE). The student practicum must meet the requirements of the ABFSE.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val="false"/>
          <w:color w:val="000000"/>
          <w:sz w:val="22"/>
        </w:rPr>
        <w:t>Students serving a practicum in Iowa will be under the direct physical supervision of a funeral director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the Iowa preceptor training course within the immediately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affiliated with a funeral establishment that has not had any formal disciplinary action within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481—901.5</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val="false"/>
          <w:color w:val="000000"/>
          <w:sz w:val="22"/>
        </w:rPr>
        <w:t>A place of business devoted to providing any aspect of mortuary science or cremation services will hold an establishment license issued by the board. An establishment license will not be issued more than 30 days prior to the opening of a new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will not be operated until it has obtained a license from the board. Each establishment will timely renew the license in order to continue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or cremation establishment will surrender its license to the board if the establishment fails to engage in or ceases to engage in the business for which the license was issued, pursuant to Iowa Code section </w:t>
      </w:r>
      <w:hyperlink r:id="rId14">
        <w:r>
          <w:rPr>
            <w:rStyle w:val="Hyperlink"/>
            <w:rFonts w:ascii="Times New Roman" w:hAnsi="Times New Roman"/>
            <w:b w:val="false"/>
            <w:i w:val="false"/>
            <w:color w:val="000000"/>
            <w:sz w:val="22"/>
          </w:rPr>
          <w:t>156.15(2)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funeral or cremation establishment license is not transferable or 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will require the issuance of a new license. A change in ownership will be reported to the board prior to the date ownership will change or, in the case of change of ownership by death or other unexpected event, within 30 days following change of ownership. The board may request legal proof of the ownership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license will be issued for a specific physical location. A change in location or site of an establishment will require the submission of an application for a new license and payment of the fee required by </w:t>
      </w:r>
      <w:hyperlink r:id="rId15">
        <w:r>
          <w:rPr>
            <w:rStyle w:val="Hyperlink"/>
            <w:rFonts w:ascii="Times New Roman" w:hAnsi="Times New Roman"/>
            <w:b w:val="false"/>
            <w:i w:val="false"/>
            <w:color w:val="000000"/>
            <w:sz w:val="22"/>
          </w:rPr>
          <w:t>481—subrule 507.9(9)</w:t>
        </w:r>
      </w:hyperlink>
      <w:r>
        <w:rPr>
          <w:rFonts w:ascii="Times New Roman" w:hAnsi="Times New Roman"/>
          <w:b w:val="false"/>
          <w:i w:val="false"/>
          <w:color w:val="000000"/>
          <w:sz w:val="22"/>
        </w:rPr>
        <w:t>. A new establishment license must be issued prior to the commencement of business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change in the name of an establishment will be reported to the board within 30 days. The establishment owner will pay the fee for reissuing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change in address or of the funeral director in responsible charge will be reported to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will have an employment or other relationship with one or more licensed funeral directors who will perform all mortuary science services for which licensure as a funeral director is required by Iowa Code chapter </w:t>
      </w:r>
      <w:hyperlink r:id="rId1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 cremation establishment is not, however, required to employ or contract with a funeral director on an ongoing basis because a cremation establishment will not offer services directly to the general public. When a funeral establishment has an employment or other relationship with multiple funeral directors, the funeral establishment will designate the funeral director who will be in responsible charge of all mortuary science services performed at the funeral establishment. The funeral establishment will report to the board any change of the funeral director in responsible charge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will not routinely issue more than one establishment license for a single location, but the board may do so if the multiple applicants provide proof, satisfactory to the board, that the establishments are wholly separate except for the sharing of facilities. If the board issues more than one establishment license for a single location, the licensees will ensure that the public will not be confused or deceived as to the establishment with which the public is interacting. A facility may have a funeral establishment license and a separate cremation establishment license at a single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will be displayed in a conspicuous place at the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these rules will constitute grounds for discipline pursuant to </w:t>
      </w:r>
      <w:hyperlink r:id="rId17">
        <w:r>
          <w:rPr>
            <w:rStyle w:val="Hyperlink"/>
            <w:rFonts w:ascii="Times New Roman" w:hAnsi="Times New Roman"/>
            <w:b w:val="false"/>
            <w:i w:val="false"/>
            <w:color w:val="000000"/>
            <w:sz w:val="22"/>
          </w:rPr>
          <w:t>481—Chapter 904</w:t>
        </w:r>
      </w:hyperlink>
      <w:r>
        <w:rPr>
          <w:rFonts w:ascii="Times New Roman" w:hAnsi="Times New Roman"/>
          <w:b w:val="false"/>
          <w:i w:val="false"/>
          <w:color w:val="000000"/>
          <w:sz w:val="22"/>
        </w:rPr>
        <w:t xml:space="preserve"> or civil penalties for unlicensed practice pursuant to </w:t>
      </w:r>
      <w:hyperlink r:id="rId18">
        <w:r>
          <w:rPr>
            <w:rStyle w:val="Hyperlink"/>
            <w:rFonts w:ascii="Times New Roman" w:hAnsi="Times New Roman"/>
            <w:b w:val="false"/>
            <w:i w:val="false"/>
            <w:color w:val="000000"/>
            <w:sz w:val="22"/>
          </w:rPr>
          <w:t>481—Chapter 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cremation establishment will be subject to applicable local, state and federal health and environmental requirements and will obtain all necessary licenses and permits from the agencies with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val="false"/>
          <w:color w:val="000000"/>
          <w:sz w:val="22"/>
        </w:rPr>
        <w:t>License application. Complete an online application on the Iowa board of mortuary science website and pay the nonrefundable funeral or cremation application fee. If there is both a funeral establishment and a cremation establishment at the same location, two establishment license applications will be required, along with the payment of two establishment application fees. The application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mailing address, telephone number, fax number and email address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home address and telephone number of the individual in charge who has the authority and responsibility for the establishment’s compliance with laws and rules pertaining to the operation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all owners and managers of the establishment (e.g., sole proprietor, partner, director, officer, managing partner, member, or shareholder with 10 percent or more of the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legal name of the establishment and all trade names, assumed names, or other names used by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authority at the site of the establishment and an acknowledgment of the funeral director in responsible charge of mortuary science services at the funeral establishment that the funeral director is aware of and consents to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license numbers of all funeral directors employed by or associated with the establishment through contract or otherwise who provide mortuary science services at or for the establishment. When a funeral establishment has an employment or other relationship with multiple funeral directors, the funeral establishment will designate the funeral director who will have responsible charge of all mortuary science services performed at the funeral establishment. No funeral establishment will be issued a license if it fails to designate the funeral director in responsible charge of the mortuary science services to be performed at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felony or misdemeanor convictions of the applicant and all owners and managing officers of the applicant (except minor traffic offenses with fines of less than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disciplinary actions against any professional or occupational license of the applicant by any jurisdiction including, but not limited to, disciplinary action by the Iowa insurance division under Iowa Code chapter </w:t>
      </w:r>
      <w:hyperlink r:id="rId19">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or action by the Federal Trade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Further information that the board may reasonably require, such as whether the establishment includes a preparation 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481—901.6</w:t>
      </w:r>
      <w:r>
        <w:rPr>
          <w:rFonts w:ascii="Times New Roman" w:hAnsi="Times New Roman"/>
          <w:b/>
          <w:i w:val="false"/>
          <w:color w:val="000000"/>
          <w:sz w:val="22"/>
        </w:rPr>
        <w:t xml:space="preserve">(156) </w:t>
      </w:r>
      <w:r>
        <w:rPr>
          <w:rFonts w:ascii="Times New Roman" w:hAnsi="Times New Roman"/>
          <w:b/>
          <w:i w:val="false"/>
          <w:color w:val="000000"/>
          <w:sz w:val="22"/>
        </w:rPr>
        <w:t xml:space="preserve">Renewal of funeral director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funeral director will begin on the sixteenth day of the licensee’s birth month and end on the fifteenth day of the licensee’s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was issued a license within six months of the license renewal date will not be required to renew the license until the subsequent renewal date two years later. Continuing education hours acquired any time from the initial licensing until the second license renewal may be used. The licensee will be required to complete a minimum of 24 hours of continuing education per biennium for each subsequent license renewal, with 2 of the 24 hours covering current Iowa law and rules as identified in </w:t>
      </w:r>
      <w:hyperlink r:id="rId21">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2">
        <w:r>
          <w:rPr>
            <w:rStyle w:val="Hyperlink"/>
            <w:rFonts w:ascii="Times New Roman" w:hAnsi="Times New Roman"/>
            <w:b w:val="false"/>
            <w:i w:val="false"/>
            <w:color w:val="000000"/>
            <w:sz w:val="22"/>
          </w:rPr>
          <w:t>481—902.2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 online renewal application on the board of mortuary science website and pay the renewal fee before the license expiration date.</w:t>
      </w:r>
    </w:p>
    <w:p>
      <w:pPr>
        <w:spacing w:before="0" w:after="0"/>
        <w:ind w:left="120"/>
        <w:jc w:val="both"/>
      </w:pPr>
      <w:r>
        <w:rPr>
          <w:rFonts w:ascii="Times New Roman" w:hAnsi="Times New Roman"/>
          <w:b w:val="false"/>
          <w:i w:val="false"/>
          <w:color w:val="000000"/>
          <w:sz w:val="22"/>
        </w:rPr>
        <w:t>Persons licensed to practice funeral directing will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funeral director will keep the license certificate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23">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funeral director in Iowa until the license is reactivated. A licensee who practices as a funeral director in the state of Iowa with an inactive license may be subject to disciplinary action by the board, injunctive action pursuant to Iowa Code section </w:t>
      </w:r>
      <w:hyperlink r:id="rId2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481—901.7</w:t>
      </w:r>
      <w:r>
        <w:rPr>
          <w:rFonts w:ascii="Times New Roman" w:hAnsi="Times New Roman"/>
          <w:b/>
          <w:i w:val="false"/>
          <w:color w:val="000000"/>
          <w:sz w:val="22"/>
        </w:rPr>
        <w:t xml:space="preserve">(272C) </w:t>
      </w:r>
      <w:r>
        <w:rPr>
          <w:rFonts w:ascii="Times New Roman" w:hAnsi="Times New Roman"/>
          <w:b/>
          <w:i w:val="false"/>
          <w:color w:val="000000"/>
          <w:sz w:val="22"/>
        </w:rPr>
        <w:t xml:space="preserve">Renewal of a funeral establishment license or a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901.7(1)</w:t>
      </w:r>
      <w:r>
        <w:rPr>
          <w:rFonts w:ascii="Times New Roman" w:hAnsi="Times New Roman"/>
          <w:b w:val="false"/>
          <w:i w:val="false"/>
          <w:color w:val="000000"/>
          <w:sz w:val="22"/>
        </w:rPr>
        <w:t> </w:t>
      </w:r>
      <w:r>
        <w:rPr>
          <w:rFonts w:ascii="Times New Roman" w:hAnsi="Times New Roman"/>
          <w:b w:val="false"/>
          <w:i w:val="false"/>
          <w:color w:val="000000"/>
          <w:sz w:val="22"/>
        </w:rPr>
        <w:t>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renewal cycle will be triennial beginning July 1 and ending on June 30 of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will be to complete an online renewal application on the Iowa board of mortuary science website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901.7(2)</w:t>
      </w:r>
      <w:r>
        <w:rPr>
          <w:rFonts w:ascii="Times New Roman" w:hAnsi="Times New Roman"/>
          <w:b w:val="false"/>
          <w:i w:val="false"/>
          <w:color w:val="000000"/>
          <w:sz w:val="22"/>
        </w:rPr>
        <w:t> </w:t>
      </w:r>
      <w:r>
        <w:rPr>
          <w:rFonts w:ascii="Times New Roman" w:hAnsi="Times New Roman"/>
          <w:b w:val="false"/>
          <w:i w:val="false"/>
          <w:color w:val="000000"/>
          <w:sz w:val="22"/>
        </w:rPr>
        <w:t>Failure to receive notice from the board will not relieve the license holder of the obligation to pay triennial renewal fees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901.7(3)</w:t>
      </w:r>
      <w:r>
        <w:rPr>
          <w:rFonts w:ascii="Times New Roman" w:hAnsi="Times New Roman"/>
          <w:b w:val="false"/>
          <w:i w:val="false"/>
          <w:color w:val="000000"/>
          <w:sz w:val="22"/>
        </w:rPr>
        <w:t> </w:t>
      </w:r>
      <w:r>
        <w:rPr>
          <w:rFonts w:ascii="Times New Roman" w:hAnsi="Times New Roman"/>
          <w:b w:val="false"/>
          <w:i w:val="false"/>
          <w:color w:val="000000"/>
          <w:sz w:val="22"/>
        </w:rPr>
        <w:t>Funeral and cremation establishments will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901.7(4)</w:t>
      </w:r>
      <w:r>
        <w:rPr>
          <w:rFonts w:ascii="Times New Roman" w:hAnsi="Times New Roman"/>
          <w:b w:val="false"/>
          <w:i w:val="false"/>
          <w:color w:val="000000"/>
          <w:sz w:val="22"/>
        </w:rPr>
        <w:t> </w:t>
      </w:r>
      <w:r>
        <w:rPr>
          <w:rFonts w:ascii="Times New Roman" w:hAnsi="Times New Roman"/>
          <w:b w:val="false"/>
          <w:i w:val="false"/>
          <w:color w:val="000000"/>
          <w:sz w:val="22"/>
        </w:rPr>
        <w:t>Late renewal. If the renewal fee and renewal application are received within 30 days after the license renewal expiration date, the late fee for failure to renew before expiration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901.7(5)</w:t>
      </w:r>
      <w:r>
        <w:rPr>
          <w:rFonts w:ascii="Times New Roman" w:hAnsi="Times New Roman"/>
          <w:b w:val="false"/>
          <w:i w:val="false"/>
          <w:color w:val="000000"/>
          <w:sz w:val="22"/>
        </w:rPr>
        <w:t> </w:t>
      </w:r>
      <w:r>
        <w:rPr>
          <w:rFonts w:ascii="Times New Roman" w:hAnsi="Times New Roman"/>
          <w:b w:val="false"/>
          <w:i w:val="false"/>
          <w:color w:val="000000"/>
          <w:sz w:val="22"/>
        </w:rPr>
        <w:t>When all requirements for license renewal are met, the licensee will be sent a license renewal card by email.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481—901.8</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901.8(1)</w:t>
      </w:r>
      <w:r>
        <w:rPr>
          <w:rFonts w:ascii="Times New Roman" w:hAnsi="Times New Roman"/>
          <w:b w:val="false"/>
          <w:i w:val="false"/>
          <w:color w:val="000000"/>
          <w:sz w:val="22"/>
        </w:rPr>
        <w:t> </w:t>
      </w:r>
      <w:r>
        <w:rPr>
          <w:rFonts w:ascii="Times New Roman" w:hAnsi="Times New Roman"/>
          <w:b w:val="false"/>
          <w:i w:val="false"/>
          <w:color w:val="000000"/>
          <w:sz w:val="22"/>
        </w:rPr>
        <w:t>If the renewal application and fee are not postmarked within 30 days after the license expiration date, the funeral establishment license or cremation establishment license is inactive. To reactivate a funeral establishment license or cremation establishment license, 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that has not renewed the funeral establishment license or cremation establishment license within the required time frame will have an inactive license and will not provide mortuary science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establishment license or a cremation establishment license. </w:t>
      </w:r>
      <w:r>
        <w:rPr>
          <w:rFonts w:ascii="Times New Roman" w:hAnsi="Times New Roman"/>
          <w:b w:val="false"/>
          <w:i w:val="false"/>
          <w:color w:val="000000"/>
          <w:sz w:val="22"/>
        </w:rPr>
        <w:t>For a funeral or cremation establishment license that has been revoked, suspended, or voluntarily surrendered, the owner must apply for and receive reinstatement of the license in accordance with rule </w:t>
      </w:r>
      <w:hyperlink r:id="rId2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7">
        <w:r>
          <w:rPr>
            <w:rStyle w:val="Hyperlink"/>
            <w:rFonts w:ascii="Times New Roman" w:hAnsi="Times New Roman"/>
            <w:b w:val="false"/>
            <w:i w:val="false"/>
            <w:color w:val="000000"/>
            <w:sz w:val="22"/>
          </w:rPr>
          <w:t>481—901.9</w:t>
        </w:r>
      </w:hyperlink>
      <w:r>
        <w:rPr>
          <w:rFonts w:ascii="Times New Roman" w:hAnsi="Times New Roman"/>
          <w:b w:val="false"/>
          <w:i w:val="false"/>
          <w:color w:val="000000"/>
          <w:sz w:val="22"/>
        </w:rPr>
        <w:t>(272C) prior to offering mortuary science services from that establishment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funeral director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in which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24 hours of continuing education that meets continuing education standards defined in rule </w:t>
      </w:r>
      <w:hyperlink r:id="rId28">
        <w:r>
          <w:rPr>
            <w:rStyle w:val="Hyperlink"/>
            <w:rFonts w:ascii="Times New Roman" w:hAnsi="Times New Roman"/>
            <w:b w:val="false"/>
            <w:i w:val="false"/>
            <w:color w:val="000000"/>
            <w:sz w:val="22"/>
          </w:rPr>
          <w:t>481—902.3</w:t>
        </w:r>
      </w:hyperlink>
      <w:r>
        <w:rPr>
          <w:rFonts w:ascii="Times New Roman" w:hAnsi="Times New Roman"/>
          <w:b w:val="false"/>
          <w:i w:val="false"/>
          <w:color w:val="000000"/>
          <w:sz w:val="22"/>
        </w:rPr>
        <w:t>(156,272C) within two years prior to filing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two hours of continuing education in current Iowa law and rules covering mortuary science content areas including, but not limited to, Iowa law and rules governing the practice of mortuary science, cremation, vital statistics, cemeteries and preneed. These 2 hours will be included as a part of the 24 hours required in subparagraph </w:t>
      </w:r>
      <w:r>
        <w:rPr>
          <w:rFonts w:ascii="Times New Roman" w:hAnsi="Times New Roman"/>
          <w:b w:val="false"/>
          <w:i w:val="false"/>
          <w:color w:val="000000"/>
          <w:sz w:val="22"/>
        </w:rPr>
        <w:t>901.11(3)</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48 hours of continuing education that meet continuing education standards defined in 481—subrule </w:t>
      </w:r>
      <w:hyperlink r:id="rId29">
        <w:r>
          <w:rPr>
            <w:rStyle w:val="Hyperlink"/>
            <w:rFonts w:ascii="Times New Roman" w:hAnsi="Times New Roman"/>
            <w:b w:val="false"/>
            <w:i w:val="false"/>
            <w:color w:val="000000"/>
            <w:sz w:val="22"/>
          </w:rPr>
          <w:t>902.3(1)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481</w:t>
        </w:r>
      </w:hyperlink>
      <w:r>
        <w:rPr>
          <w:rFonts w:ascii="Times New Roman" w:hAnsi="Times New Roman"/>
          <w:b w:val="false"/>
          <w:i w:val="false"/>
          <w:color w:val="000000"/>
          <w:sz w:val="22"/>
        </w:rPr>
        <w:t xml:space="preserve">—paragraphs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 xml:space="preserve"> “c,”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within two years prior to filing the application for reactivation. Independent study identified in </w:t>
      </w:r>
      <w:hyperlink r:id="rId31">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“f”</w:t>
      </w:r>
      <w:r>
        <w:rPr>
          <w:rFonts w:ascii="Times New Roman" w:hAnsi="Times New Roman"/>
          <w:b w:val="false"/>
          <w:i w:val="false"/>
          <w:color w:val="000000"/>
          <w:sz w:val="22"/>
        </w:rPr>
        <w:t xml:space="preserve"> will not exceed 24 hours of the 48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Reinstatement of a funeral director license.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2">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3">
        <w:r>
          <w:rPr>
            <w:rStyle w:val="Hyperlink"/>
            <w:rFonts w:ascii="Times New Roman" w:hAnsi="Times New Roman"/>
            <w:b w:val="false"/>
            <w:i w:val="false"/>
            <w:color w:val="000000"/>
            <w:sz w:val="22"/>
          </w:rPr>
          <w:t>481—901.11</w:t>
        </w:r>
      </w:hyperlink>
      <w:r>
        <w:rPr>
          <w:rFonts w:ascii="Times New Roman" w:hAnsi="Times New Roman"/>
          <w:b w:val="false"/>
          <w:i w:val="false"/>
          <w:color w:val="000000"/>
          <w:sz w:val="22"/>
        </w:rPr>
        <w:t>(17A,147,272C) prior to practicing as a funeral director in this state. The owner of a funeral home establishment whose establishment license has been revoked, suspended, or voluntarily surrendered must apply for and receive reinstatement of the establishment license and must apply for and be granted reactivation of the establishment license prior to reopening the funeral home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481—901.12</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901.12(1)</w:t>
      </w:r>
      <w:r>
        <w:rPr>
          <w:rFonts w:ascii="Times New Roman" w:hAnsi="Times New Roman"/>
          <w:b w:val="false"/>
          <w:i w:val="false"/>
          <w:color w:val="000000"/>
          <w:sz w:val="22"/>
        </w:rPr>
        <w:t> </w:t>
      </w:r>
      <w:r>
        <w:rPr>
          <w:rFonts w:ascii="Times New Roman" w:hAnsi="Times New Roman"/>
          <w:b w:val="false"/>
          <w:i w:val="false"/>
          <w:color w:val="000000"/>
          <w:sz w:val="22"/>
        </w:rPr>
        <w:t>A removal technician will complete an in-person or live, real-time interactive media education training program that is approved by the board of mortuary science and provides education and training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the Federal Trade Commission Funeral Rule as defined in rule </w:t>
      </w:r>
      <w:hyperlink r:id="rId34">
        <w:r>
          <w:rPr>
            <w:rStyle w:val="Hyperlink"/>
            <w:rFonts w:ascii="Times New Roman" w:hAnsi="Times New Roman"/>
            <w:b w:val="false"/>
            <w:i w:val="false"/>
            <w:color w:val="000000"/>
            <w:sz w:val="22"/>
          </w:rPr>
          <w:t>481—900.1</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of the Occupational Safety and Health Act relevant to the removal technician’s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laws and rules relevant to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Pertinent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901.12(2)</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removal technician to maintain documentation of successful completion of the education training program described in subrule </w:t>
      </w:r>
      <w:r>
        <w:rPr>
          <w:rFonts w:ascii="Times New Roman" w:hAnsi="Times New Roman"/>
          <w:b w:val="false"/>
          <w:i w:val="false"/>
          <w:color w:val="000000"/>
          <w:sz w:val="22"/>
        </w:rPr>
        <w:t>901.12(1)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481—901.13</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supervision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901.13(1)</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removal technician will serve under the direct supervision of an Iowa licensed funeral director, will only perform removals at the direction of the supervising funeral director, and may act in place of a funeral director only in performing a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901.13(2)</w:t>
      </w:r>
      <w:r>
        <w:rPr>
          <w:rFonts w:ascii="Times New Roman" w:hAnsi="Times New Roman"/>
          <w:b w:val="false"/>
          <w:i w:val="false"/>
          <w:color w:val="000000"/>
          <w:sz w:val="22"/>
        </w:rPr>
        <w:t> </w:t>
      </w:r>
      <w:r>
        <w:rPr>
          <w:rFonts w:ascii="Times New Roman" w:hAnsi="Times New Roman"/>
          <w:b w:val="false"/>
          <w:i w:val="false"/>
          <w:color w:val="000000"/>
          <w:sz w:val="22"/>
        </w:rPr>
        <w:t>Any Iowa-licensed funeral director who meets the following conditions is eligible to be a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practicing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 with the board of mortuary science;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affiliated with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removal technician seeking registration will complete an application on forms provided by the board and remit a fee in the amount of $50 to the board. The application will include the applicant’s full name, date of birth, and home address; the name and license number of the removal technician’s supervising funeral director; and the name and address of the funeral establishment primarily employing the removal technician. A registration is effective for five years and may be renewed within 60 days of expiration. A removal technician will advise the board in writing of any change in supervisor or funeral establishment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901.13(4)</w:t>
      </w:r>
      <w:r>
        <w:rPr>
          <w:rFonts w:ascii="Times New Roman" w:hAnsi="Times New Roman"/>
          <w:b w:val="false"/>
          <w:i w:val="false"/>
          <w:color w:val="000000"/>
          <w:sz w:val="22"/>
        </w:rPr>
        <w:t> </w:t>
      </w:r>
      <w:r>
        <w:rPr>
          <w:rFonts w:ascii="Times New Roman" w:hAnsi="Times New Roman"/>
          <w:b w:val="false"/>
          <w:i w:val="false"/>
          <w:color w:val="000000"/>
          <w:sz w:val="22"/>
        </w:rPr>
        <w:t>The supervising funeral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completes the education training program described in rule </w:t>
      </w:r>
      <w:hyperlink r:id="rId35">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is registered as a removal technician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directly supervise the removal technician’s first five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performs its duties as outlined in subrule </w:t>
      </w:r>
      <w:r>
        <w:rPr>
          <w:rFonts w:ascii="Times New Roman" w:hAnsi="Times New Roman"/>
          <w:b w:val="false"/>
          <w:i w:val="false"/>
          <w:color w:val="000000"/>
          <w:sz w:val="22"/>
        </w:rPr>
        <w:t>901.13(2)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supervise more than two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have more than four registered removal technicians employed by the same funeral establishment, or any funeral establishment owned, operated, or affiliated with that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901.13(5)</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technicians will: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employed full- or part-time by the Iowa-licensed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requirements of rule </w:t>
      </w:r>
      <w:hyperlink r:id="rId36">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have their first five removals completed in the physical presence of and directly supervised by their supervising Iowa licensed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subrule </w:t>
      </w:r>
      <w:r>
        <w:rPr>
          <w:rFonts w:ascii="Times New Roman" w:hAnsi="Times New Roman"/>
          <w:b w:val="false"/>
          <w:i w:val="false"/>
          <w:color w:val="000000"/>
          <w:sz w:val="22"/>
        </w:rPr>
        <w:t>900.4(1)</w:t>
      </w:r>
      <w:r>
        <w:rPr>
          <w:rFonts w:ascii="Times New Roman" w:hAnsi="Times New Roman"/>
          <w:b w:val="false"/>
          <w:i w:val="false"/>
          <w:color w:val="000000"/>
          <w:sz w:val="22"/>
        </w:rPr>
        <w:t xml:space="preserve"> on behalf of their supervising licensed funeral director, including providing their signature and registration number when removing a human remains from a hospital, nursing establishment, or any other institution involved with the care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901.13(6)</w:t>
      </w:r>
      <w:r>
        <w:rPr>
          <w:rFonts w:ascii="Times New Roman" w:hAnsi="Times New Roman"/>
          <w:b w:val="false"/>
          <w:i w:val="false"/>
          <w:color w:val="000000"/>
          <w:sz w:val="22"/>
        </w:rPr>
        <w:t> </w:t>
      </w:r>
      <w:r>
        <w:rPr>
          <w:rFonts w:ascii="Times New Roman" w:hAnsi="Times New Roman"/>
          <w:b w:val="false"/>
          <w:i w:val="false"/>
          <w:color w:val="000000"/>
          <w:sz w:val="22"/>
        </w:rPr>
        <w:t>Removal technicians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or hold themselves out as a funeral director or use the acronym “F.D.” or any other title or abbreviation indicating that the removal technician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Engage in any duties of a funeral director outside of performing a removal, including but not limited to the duties of a funeral director enumerated in 481—paragraphs </w:t>
      </w:r>
      <w:r>
        <w:rPr>
          <w:rFonts w:ascii="Times New Roman" w:hAnsi="Times New Roman"/>
          <w:b w:val="false"/>
          <w:i w:val="false"/>
          <w:color w:val="000000"/>
          <w:sz w:val="22"/>
        </w:rPr>
        <w:t>900.2(1)</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11/9/76, Notice 9/22/76—published 12/1/76, effective 1/5/77]</w:t>
      </w:r>
    </w:p>
    <w:p>
      <w:pPr>
        <w:spacing w:before="0" w:after="0"/>
        <w:ind w:left="120"/>
        <w:jc w:val="center"/>
      </w:pPr>
      <w:r>
        <w:rPr>
          <w:rFonts w:ascii="Times New Roman" w:hAnsi="Times New Roman"/>
          <w:b w:val="false"/>
          <w:i w:val="false"/>
          <w:color w:val="000000"/>
          <w:sz w:val="21"/>
        </w:rPr>
        <w:t>[Filed 4/7/77, Notice 2/9/77—published 5/4/77, effective 6/8/77]</w:t>
      </w:r>
    </w:p>
    <w:p>
      <w:pPr>
        <w:spacing w:before="0" w:after="0"/>
        <w:ind w:left="120"/>
        <w:jc w:val="center"/>
      </w:pPr>
      <w:r>
        <w:rPr>
          <w:rFonts w:ascii="Times New Roman" w:hAnsi="Times New Roman"/>
          <w:b w:val="false"/>
          <w:i w:val="false"/>
          <w:color w:val="000000"/>
          <w:sz w:val="21"/>
        </w:rPr>
        <w:t>[Filed 6/9/78, Notice 11/2/77—published 6/28/78, effective 8/2/78]</w:t>
      </w:r>
    </w:p>
    <w:p>
      <w:pPr>
        <w:spacing w:before="0" w:after="0"/>
        <w:ind w:left="120"/>
        <w:jc w:val="center"/>
      </w:pPr>
      <w:r>
        <w:rPr>
          <w:rFonts w:ascii="Times New Roman" w:hAnsi="Times New Roman"/>
          <w:b w:val="false"/>
          <w:i w:val="false"/>
          <w:color w:val="000000"/>
          <w:sz w:val="21"/>
        </w:rPr>
        <w:t>[Filed 9/29/78, Notice 8/9/78—published 10/18/78, effective 11/22/78]</w:t>
      </w:r>
    </w:p>
    <w:p>
      <w:pPr>
        <w:spacing w:before="0" w:after="0"/>
        <w:ind w:left="120"/>
        <w:jc w:val="center"/>
      </w:pPr>
      <w:r>
        <w:rPr>
          <w:rFonts w:ascii="Times New Roman" w:hAnsi="Times New Roman"/>
          <w:b w:val="false"/>
          <w:i w:val="false"/>
          <w:color w:val="000000"/>
          <w:sz w:val="21"/>
        </w:rPr>
        <w:t>[Filed 4/11/79, Notice 9/20/78—published 5/2/79, effective 7/1/79]</w:t>
      </w:r>
    </w:p>
    <w:p>
      <w:pPr>
        <w:spacing w:before="0" w:after="0"/>
        <w:ind w:left="120"/>
        <w:jc w:val="center"/>
      </w:pPr>
      <w:r>
        <w:rPr>
          <w:rFonts w:ascii="Times New Roman" w:hAnsi="Times New Roman"/>
          <w:b w:val="false"/>
          <w:i w:val="false"/>
          <w:color w:val="000000"/>
          <w:sz w:val="21"/>
        </w:rPr>
        <w:t>[Filed emergency 5/23/79—published 6/13/79, effective 7/1/79]</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4/23/81, Notice 2/4/81—published 5/13/81, effective 6/17/81]</w:t>
      </w:r>
    </w:p>
    <w:p>
      <w:pPr>
        <w:spacing w:before="0" w:after="0"/>
        <w:ind w:left="120"/>
        <w:jc w:val="center"/>
      </w:pPr>
      <w:r>
        <w:rPr>
          <w:rFonts w:ascii="Times New Roman" w:hAnsi="Times New Roman"/>
          <w:b w:val="false"/>
          <w:i w:val="false"/>
          <w:color w:val="000000"/>
          <w:sz w:val="21"/>
        </w:rPr>
        <w:t>[Filed 12/3/81, Notice 6/10/81—published 12/23/81, effective 2/1/82]</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10/22/82, Notice 9/15/82—published 11/10/82, effective 12/17/82]</w:t>
      </w:r>
    </w:p>
    <w:p>
      <w:pPr>
        <w:spacing w:before="0" w:after="0"/>
        <w:ind w:left="120"/>
        <w:jc w:val="center"/>
      </w:pPr>
      <w:r>
        <w:rPr>
          <w:rFonts w:ascii="Times New Roman" w:hAnsi="Times New Roman"/>
          <w:b w:val="false"/>
          <w:i w:val="false"/>
          <w:color w:val="000000"/>
          <w:sz w:val="21"/>
        </w:rPr>
        <w:t>[Filed 2/11/83, Notice 11/10/82—published 3/2/83, effective 4/7/83]</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1/10/86, Notice 7/17/85—published 1/29/86, effective 3/6/86]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12/8/89, Notice 10/4/89—published 12/27/89, effective 1/31/90]</w:t>
      </w:r>
    </w:p>
    <w:p>
      <w:pPr>
        <w:spacing w:before="0" w:after="0"/>
        <w:ind w:left="120"/>
        <w:jc w:val="center"/>
      </w:pPr>
      <w:r>
        <w:rPr>
          <w:rFonts w:ascii="Times New Roman" w:hAnsi="Times New Roman"/>
          <w:b w:val="false"/>
          <w:i w:val="false"/>
          <w:color w:val="000000"/>
          <w:sz w:val="21"/>
        </w:rPr>
        <w:t>[Filed 2/12/90, Notice 11/1/89—published 3/7/90, effective 4/11/90]</w:t>
      </w:r>
    </w:p>
    <w:p>
      <w:pPr>
        <w:spacing w:before="0" w:after="0"/>
        <w:ind w:left="120"/>
        <w:jc w:val="center"/>
      </w:pPr>
      <w:r>
        <w:rPr>
          <w:rFonts w:ascii="Times New Roman" w:hAnsi="Times New Roman"/>
          <w:b w:val="false"/>
          <w:i w:val="false"/>
          <w:color w:val="000000"/>
          <w:sz w:val="21"/>
        </w:rPr>
        <w:t>[Filed 7/6/90, Notice 3/21/90—published 7/25/90, effective 9/25/90]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6/21/91, Notice 5/15/91—published 7/10/91, effective 8/14/91]</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8/27/93, Notice 5/26/93—published 9/15/93, effective 10/20/93]</w:t>
      </w:r>
    </w:p>
    <w:p>
      <w:pPr>
        <w:spacing w:before="0" w:after="0"/>
        <w:ind w:left="120"/>
        <w:jc w:val="center"/>
      </w:pPr>
      <w:r>
        <w:rPr>
          <w:rFonts w:ascii="Times New Roman" w:hAnsi="Times New Roman"/>
          <w:b w:val="false"/>
          <w:i w:val="false"/>
          <w:color w:val="000000"/>
          <w:sz w:val="21"/>
        </w:rPr>
        <w:t>[Filed 6/17/94, Notice 3/2/94—published 7/6/94, effective 8/10/94]</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5/18/95, Notice 2/15/95—published 6/7/95, effective 7/12/95]</w:t>
      </w:r>
    </w:p>
    <w:p>
      <w:pPr>
        <w:spacing w:before="0" w:after="0"/>
        <w:ind w:left="120"/>
        <w:jc w:val="center"/>
      </w:pPr>
      <w:r>
        <w:rPr>
          <w:rFonts w:ascii="Times New Roman" w:hAnsi="Times New Roman"/>
          <w:b w:val="false"/>
          <w:i w:val="false"/>
          <w:color w:val="000000"/>
          <w:sz w:val="21"/>
        </w:rPr>
        <w:t>[Filed 10/6/95, Notice 7/19/95—published 10/25/95, effective 11/29/95]</w:t>
      </w:r>
    </w:p>
    <w:p>
      <w:pPr>
        <w:spacing w:before="0" w:after="0"/>
        <w:ind w:left="120"/>
        <w:jc w:val="center"/>
      </w:pPr>
      <w:r>
        <w:rPr>
          <w:rFonts w:ascii="Times New Roman" w:hAnsi="Times New Roman"/>
          <w:b w:val="false"/>
          <w:i w:val="false"/>
          <w:color w:val="000000"/>
          <w:sz w:val="21"/>
        </w:rPr>
        <w:t>[Filed 1/19/96, Notice 10/25/95—published 2/14/96, effective 3/20/96]</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4/21/99, Notice 1/13/99—published 5/19/99, effective 6/23/99]</w:t>
      </w:r>
    </w:p>
    <w:p>
      <w:pPr>
        <w:spacing w:before="0" w:after="0"/>
        <w:ind w:left="120"/>
        <w:jc w:val="center"/>
      </w:pPr>
      <w:r>
        <w:rPr>
          <w:rFonts w:ascii="Times New Roman" w:hAnsi="Times New Roman"/>
          <w:b w:val="false"/>
          <w:i w:val="false"/>
          <w:color w:val="000000"/>
          <w:sz w:val="21"/>
        </w:rPr>
        <w:t>[Filed 4/21/99, Notice 3/10/99—published 5/19/99, effective 6/23/99]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9/9/04, Notice 7/7/04—published 9/29/04, effective 11/3/04]</w:t>
      </w:r>
    </w:p>
    <w:p>
      <w:pPr>
        <w:spacing w:before="0" w:after="0"/>
        <w:ind w:left="120"/>
        <w:jc w:val="center"/>
      </w:pPr>
      <w:r>
        <w:rPr>
          <w:rFonts w:ascii="Times New Roman" w:hAnsi="Times New Roman"/>
          <w:b w:val="false"/>
          <w:i w:val="false"/>
          <w:color w:val="000000"/>
          <w:sz w:val="21"/>
        </w:rPr>
        <w:t>[Filed 6/15/05,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5760C</w:t>
      </w:r>
      <w:r>
        <w:rPr>
          <w:rFonts w:ascii="Times New Roman" w:hAnsi="Times New Roman"/>
          <w:b w:val="false"/>
          <w:i w:val="false"/>
          <w:color w:val="000000"/>
          <w:sz w:val="21"/>
        </w:rPr>
        <w:t xml:space="preserve"> (Notice ARC 5449C,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7022C</w:t>
      </w:r>
      <w:r>
        <w:rPr>
          <w:rFonts w:ascii="Times New Roman" w:hAnsi="Times New Roman"/>
          <w:b w:val="false"/>
          <w:i w:val="false"/>
          <w:color w:val="000000"/>
          <w:sz w:val="21"/>
        </w:rPr>
        <w:t xml:space="preserve"> (Notice ARC 6663C, IAB 11/16/22)</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7813C</w:t>
      </w:r>
      <w:r>
        <w:rPr>
          <w:rFonts w:ascii="Times New Roman" w:hAnsi="Times New Roman"/>
          <w:b w:val="false"/>
          <w:i w:val="false"/>
          <w:color w:val="000000"/>
          <w:sz w:val="21"/>
        </w:rPr>
        <w:t xml:space="preserve"> (Notice ARC 7532C,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645—101.3(147,156), 101.98(3), 101.212(16) delayed 70 days by the Administrative Rules Review Committee at its meeting held March 13, 1995; delay lifted by this Committee May 9, 1995.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01.11.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645.101.2.pdf" Type="http://schemas.openxmlformats.org/officeDocument/2006/relationships/hyperlink" Id="rId6"/>
    <Relationship TargetMode="External" Target="https://www.legis.iowa.gov/docs/iac/rule/481.901.3.pdf" Type="http://schemas.openxmlformats.org/officeDocument/2006/relationships/hyperlink" Id="rId7"/>
    <Relationship TargetMode="External" Target="https://www.legis.iowa.gov/docs/iac/rule/481.501.1.pdf" Type="http://schemas.openxmlformats.org/officeDocument/2006/relationships/hyperlink" Id="rId8"/>
    <Relationship TargetMode="External" Target="https://www.legis.iowa.gov/docs/iac/rule/645.101.3.pdf" Type="http://schemas.openxmlformats.org/officeDocument/2006/relationships/hyperlink" Id="rId9"/>
    <Relationship TargetMode="External" Target="https://www.legis.iowa.gov/docs/iac/rule/645.101.3.pdf" Type="http://schemas.openxmlformats.org/officeDocument/2006/relationships/hyperlink" Id="rId10"/>
    <Relationship TargetMode="External" Target="https://www.legis.iowa.gov/docs/ico/chapter/523A.pdf" Type="http://schemas.openxmlformats.org/officeDocument/2006/relationships/hyperlink" Id="rId11"/>
    <Relationship TargetMode="External" Target="https://www.legis.iowa.gov/docs/ico/chapter/144.pdf" Type="http://schemas.openxmlformats.org/officeDocument/2006/relationships/hyperlink" Id="rId12"/>
    <Relationship TargetMode="External" Target="https://www.legis.iowa.gov/docs/ico/chapter/144C.pdf" Type="http://schemas.openxmlformats.org/officeDocument/2006/relationships/hyperlink" Id="rId13"/>
    <Relationship TargetMode="External" Target="https://www.legis.iowa.gov/docs/ico/chapter/156.pdf" Type="http://schemas.openxmlformats.org/officeDocument/2006/relationships/hyperlink" Id="rId14"/>
    <Relationship TargetMode="External" Target="https://www.legis.iowa.gov/docs/iac/rule/481.507.9.pdf" Type="http://schemas.openxmlformats.org/officeDocument/2006/relationships/hyperlink" Id="rId15"/>
    <Relationship TargetMode="External" Target="https://www.legis.iowa.gov/docs/ico/chapter/156.pdf" Type="http://schemas.openxmlformats.org/officeDocument/2006/relationships/hyperlink" Id="rId16"/>
    <Relationship TargetMode="External" Target="https://www.legis.iowa.gov/docs/iac/chapter/481.904.pdf" Type="http://schemas.openxmlformats.org/officeDocument/2006/relationships/hyperlink" Id="rId17"/>
    <Relationship TargetMode="External" Target="https://www.legis.iowa.gov/docs/iac/chapter/481.905.pdf" Type="http://schemas.openxmlformats.org/officeDocument/2006/relationships/hyperlink" Id="rId18"/>
    <Relationship TargetMode="External" Target="https://www.legis.iowa.gov/docs/ico/chapter/523A.pdf" Type="http://schemas.openxmlformats.org/officeDocument/2006/relationships/hyperlink" Id="rId19"/>
    <Relationship TargetMode="External" Target="https://www.legis.iowa.gov/docs/ico/chapter/523I.pdf" Type="http://schemas.openxmlformats.org/officeDocument/2006/relationships/hyperlink" Id="rId20"/>
    <Relationship TargetMode="External" Target="https://www.legis.iowa.gov/docs/iac/rule/481.902.3.pdf" Type="http://schemas.openxmlformats.org/officeDocument/2006/relationships/hyperlink" Id="rId21"/>
    <Relationship TargetMode="External" Target="https://www.legis.iowa.gov/docs/iac/rule/481.902.2.pdf" Type="http://schemas.openxmlformats.org/officeDocument/2006/relationships/hyperlink" Id="rId22"/>
    <Relationship TargetMode="External" Target="https://www.legis.iowa.gov/docs/iac/rule/481.507.14.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ac/rule/481.506.31.pdf" Type="http://schemas.openxmlformats.org/officeDocument/2006/relationships/hyperlink" Id="rId26"/>
    <Relationship TargetMode="External" Target="https://www.legis.iowa.gov/docs/iac/rule/481.901.9.pdf" Type="http://schemas.openxmlformats.org/officeDocument/2006/relationships/hyperlink" Id="rId27"/>
    <Relationship TargetMode="External" Target="https://www.legis.iowa.gov/docs/iac/rule/481.902.3.pdf" Type="http://schemas.openxmlformats.org/officeDocument/2006/relationships/hyperlink" Id="rId28"/>
    <Relationship TargetMode="External" Target="https://www.legis.iowa.gov/docs/iac/rule/481.902.3.pdf" Type="http://schemas.openxmlformats.org/officeDocument/2006/relationships/hyperlink" Id="rId29"/>
    <Relationship TargetMode="External" Target="https://www.legis.iowa.gov/docs/iac/chapter/481.481.pdf" Type="http://schemas.openxmlformats.org/officeDocument/2006/relationships/hyperlink" Id="rId30"/>
    <Relationship TargetMode="External" Target="https://www.legis.iowa.gov/docs/iac/rule/481.902.3.pdf" Type="http://schemas.openxmlformats.org/officeDocument/2006/relationships/hyperlink" Id="rId31"/>
    <Relationship TargetMode="External" Target="https://www.legis.iowa.gov/docs/iac/rule/481.506.31.pdf" Type="http://schemas.openxmlformats.org/officeDocument/2006/relationships/hyperlink" Id="rId32"/>
    <Relationship TargetMode="External" Target="https://www.legis.iowa.gov/docs/iac/rule/481.901.11.pdf" Type="http://schemas.openxmlformats.org/officeDocument/2006/relationships/hyperlink" Id="rId33"/>
    <Relationship TargetMode="External" Target="https://www.legis.iowa.gov/docs/iac/rule/481.900.1.pdf" Type="http://schemas.openxmlformats.org/officeDocument/2006/relationships/hyperlink" Id="rId34"/>
    <Relationship TargetMode="External" Target="https://www.legis.iowa.gov/docs/iac/rule/481.901.12.pdf" Type="http://schemas.openxmlformats.org/officeDocument/2006/relationships/hyperlink" Id="rId35"/>
    <Relationship TargetMode="External" Target="https://www.legis.iowa.gov/docs/iac/rule/481.901.12.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156.pdf" Type="http://schemas.openxmlformats.org/officeDocument/2006/relationships/hyperlink" Id="rId39"/>
    <Relationship TargetMode="External" Target="https://www.legis.iowa.gov/docs/ico/chapter/272C.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