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897</w:t>
      </w:r>
    </w:p>
    <w:p>
      <w:pPr>
        <w:spacing w:before="0" w:after="0"/>
        <w:ind w:left="120"/>
        <w:jc w:val="center"/>
      </w:pPr>
      <w:r>
        <w:rPr>
          <w:rFonts w:ascii="Times New Roman" w:hAnsi="Times New Roman"/>
          <w:b w:val="false"/>
          <w:i w:val="false"/>
          <w:color w:val="000000"/>
          <w:sz w:val="21"/>
        </w:rPr>
        <w:t>PRACTICE OF SOCIAL WORKERS</w:t>
      </w:r>
    </w:p>
    <w:p>
      <w:pPr>
        <w:spacing w:before="0" w:after="0"/>
        <w:ind w:left="120"/>
        <w:jc w:val="center"/>
      </w:pPr>
      <w:r>
        <w:rPr>
          <w:rFonts w:ascii="Times New Roman" w:hAnsi="Times New Roman"/>
          <w:b w:val="false"/>
          <w:i w:val="false"/>
          <w:color w:val="000000"/>
          <w:sz w:val="14"/>
        </w:rPr>
        <w:t>[Prior to 9/18/24, see Professional Licensure Division[645] Ch 282]</w:t>
      </w:r>
    </w:p>
    <w:p>
      <w:pPr>
        <w:spacing w:before="0" w:after="0"/>
        <w:ind w:left="120"/>
        <w:jc w:val="both"/>
      </w:pPr>
      <w:r>
        <w:rPr>
          <w:rFonts w:ascii="Times New Roman" w:hAnsi="Times New Roman"/>
          <w:b/>
          <w:i w:val="false"/>
          <w:color w:val="000000"/>
          <w:sz w:val="22"/>
        </w:rPr>
        <w:t>481—897.1</w:t>
      </w:r>
      <w:r>
        <w:rPr>
          <w:rFonts w:ascii="Times New Roman" w:hAnsi="Times New Roman"/>
          <w:b/>
          <w:i w:val="false"/>
          <w:color w:val="000000"/>
          <w:sz w:val="22"/>
        </w:rPr>
        <w:t xml:space="preserve">(154C)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the individual, couple, family, or group to whom a licensee provides direct social work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services” </w:t>
      </w:r>
      <w:r>
        <w:rPr>
          <w:rFonts w:ascii="Times New Roman" w:hAnsi="Times New Roman"/>
          <w:b w:val="false"/>
          <w:i w:val="false"/>
          <w:color w:val="000000"/>
          <w:sz w:val="22"/>
        </w:rPr>
        <w:t>means services provided by an LMSW or LISW that involve the professional application of social work theory and methods in diagnosing, assessing, treating, and preventing psychosocial disabilities or impairments, including emotional and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“Counseling” </w:t>
      </w:r>
      <w:r>
        <w:rPr>
          <w:rFonts w:ascii="Times New Roman" w:hAnsi="Times New Roman"/>
          <w:b w:val="false"/>
          <w:i w:val="false"/>
          <w:color w:val="000000"/>
          <w:sz w:val="22"/>
        </w:rPr>
        <w:t>means a method used by licensees to assist clients in learning how to solve problems and make decisions about personal, health, social, educational, vocational, financial, and other interpersonal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“Psychosocial therapy” </w:t>
      </w:r>
      <w:r>
        <w:rPr>
          <w:rFonts w:ascii="Times New Roman" w:hAnsi="Times New Roman"/>
          <w:b w:val="false"/>
          <w:i w:val="false"/>
          <w:color w:val="000000"/>
          <w:sz w:val="22"/>
        </w:rPr>
        <w:t>means a specialized, formal interaction between an LMSW or LISW and a client in which a therapeutic relationship is established and maintained to assist the client in overcoming or abating specific emotional, mental, or social problems and achieving specified goals for well-being. Psychosocial therapy is a form of psychotherapy that emphasizes the interface between the client and the client’s environment. Therapy is a planned, structured program based on a diagnosis and is directed to accomplish measurable goals and objectives specified in the client’s individual treatment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481—897.2</w:t>
      </w:r>
      <w:r>
        <w:rPr>
          <w:rFonts w:ascii="Times New Roman" w:hAnsi="Times New Roman"/>
          <w:b/>
          <w:i w:val="false"/>
          <w:color w:val="000000"/>
          <w:sz w:val="22"/>
        </w:rPr>
        <w:t xml:space="preserve">(154C) </w:t>
      </w:r>
      <w:r>
        <w:rPr>
          <w:rFonts w:ascii="Times New Roman" w:hAnsi="Times New Roman"/>
          <w:b/>
          <w:i w:val="false"/>
          <w:color w:val="000000"/>
          <w:sz w:val="22"/>
        </w:rPr>
        <w:t xml:space="preserve">Rules of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provide services to clients only in the context of a professional relationship based, when appropriate, on valid written informed consent. A licensee will use clear and understandable language to inform clients about the nature of available services, potential benefits and risks, limits and risks of confidentiality, alternative ways of receiving assistance, applicable fees, and involvement of and sharing information with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client has difficulty communicating, a licensee will attempt to ensure the client’s comprehension. This may include providing the client with a detailed verbal explanation or arranging for a qualified interpreter or translator whenever possible. A licensee will provide information in a manner that is understandable and culturally appropriate for the client. Clients will be given sufficient opportunity to ask questions and receive answers about social work services, including electronic delivery of services,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client lacks the capacity to provide informed consent, a licensee will protect the client’s interests by seeking permission from an appropriate third party and will inform the client consistent with the client’s level of understanding. In such instances, a licensee will seek to ensure that the third party acts in a manner consistent with the client’s wishes and interests. A licensee will take reasonable steps to enhance the client’s ability to give 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client is receiving services involuntarily, a licensee will provide information about the nature and extent of services and about the extent of the client’s right to refuse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 of social work services to an individual in this state through any electronic means, including the Internet, telephone, or the Iowa communications network or any fiberoptic media, regardless of the location of the licensee, constitutes the practice of social work in the state of Iowa and will be subject to regulation in accordance with Iowa Code chapters </w:t>
      </w:r>
      <w:hyperlink r:id="rId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the administrative rules of the board. A licensee who provides services via electronic media will inform recipients of the limitations and risks associated with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will obtain a client’s informed consent before audiotaping or videotaping the client or permitting a third party to observe services provided to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will develop policies regarding the sharing, retention, and storage of digital and other electronic communications and records and will inform clients of applicable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provide services and represent oneself as competent only within the boundaries of the licensee’s education, training, license, certification, consultation received, supervised experience, or other relevant professional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provide services in substantive areas or use intervention techniques or approaches that are new only after engaging in appropriate study, training, consultation, and supervision from people who are competent in those areas, interventions, or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generally recognized standards do not exist with respect to an emerging area of practice, a licensee will exercise careful judgment and take responsible steps, including appropriate education, research, training, consultation and supervision, to ensure competence and to protect clients from harm.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exercise appropriate supervision over persons who practice under the supervision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supervision or consultation will have the necessary knowledge and skill to supervise or consult appropriately and will do so only within the licensee’s areas of knowledge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supervision or consultation is responsible for setting clear, appropriate, and culturally sensitive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will not engage in any dual or multiple relationships with supervisees if there is a risk of exploitation of or potential harm to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will not engage in sexual activities or sexual contact with a supervisee, student, trainee, or other colleague over whom the licensee exercises professional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will not employ, assign, or supervise an individual in the performance of services that require a license if the individual has not received a license to perform the services or if the individual has a suspended, revoked, lapsed, or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will not practice without receiving supervision, as needed, given the licensee’s level of practice, experience, and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897.2(4)</w:t>
      </w:r>
      <w:r>
        <w:rPr>
          <w:rFonts w:ascii="Times New Roman" w:hAnsi="Times New Roman"/>
          <w:b w:val="false"/>
          <w:i w:val="false"/>
          <w:color w:val="000000"/>
          <w:sz w:val="22"/>
        </w:rPr>
        <w:t> </w:t>
      </w:r>
      <w:r>
        <w:rPr>
          <w:rFonts w:ascii="Times New Roman" w:hAnsi="Times New Roman"/>
          <w:b w:val="false"/>
          <w:i/>
          <w:color w:val="000000"/>
          <w:sz w:val="22"/>
        </w:rPr>
        <w:t xml:space="preserve">Privacy and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not disclose or be compelled to disclose client information unless required by law,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determines that disclosure is necessary to prevent serious, foreseeable, and imminent harm to the client or another specific identifiable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client waives the privilege by bringing criminal, civil, or administrative charges or action against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the written informed consent of the client that explains to whom the client information will be disclosed or released and the purpose and time frame for the release of information. If the client is deceased or unable to provide informed consent, a licensee will obtain written consent from the client’s personal representative, another person authorized to sue, or the beneficiary of an insurance policy on the client’s life, health,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testify in a court or administrative hearing concerning matters pertaining to the welfare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seek collaboration or consultation with professional colleagues or administrative superiors on behalf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Pursuant to a validly issued subpoena or court order.</w:t>
      </w:r>
    </w:p>
    <w:p>
      <w:pPr>
        <w:spacing w:before="0" w:after="0"/>
        <w:ind w:left="120"/>
        <w:jc w:val="both"/>
      </w:pPr>
      <w:r>
        <w:rPr>
          <w:rFonts w:ascii="Times New Roman" w:hAnsi="Times New Roman"/>
          <w:b w:val="false"/>
          <w:i w:val="false"/>
          <w:color w:val="000000"/>
          <w:sz w:val="22"/>
        </w:rPr>
        <w:t>In the event of a disclosure of information under any of the circumstances stated above, the licensee will disclose the least amount of confidential information necessary and will reveal only that information that is directly relevant to the purpose for which the disclosure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the disclosure is made, on the basis of client consent or other legal basis, a licensee will inform the client, to the extent possible, about the disclosure of confidential information and the potential consequences of the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will discuss with clients and other interested parties the nature of confidentiality and limitations of a client’s right to confidentiality. A licensee will review with clients the circumstances under which confidential information may be requested and when disclosure of confidential information may be legally required. This discussion should occur as soon as possible in the professional relationship and as needed throughout the course of the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licensee provides counseling or psychosocial therapy services to families, couples, or groups, the licensee will seek agreement among the parties involved concerning each individual’s right to confidentiality and obligation to preserve the confidentiality of information shared by others. A licensee will inform participants in family, couples, or group counseling or psychosocial therapy that the licensee cannot guarantee that all participants will honor such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will inform clients involved in family, couples, marital, or group counseling or psychosocial therapy of the licensee’s, the licensee’s employer’s, and the agency’s policy concerning the licensee’s disclosure of confidential information among the parties involved in the counseling or psychosocial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will not disclose confidential information to third-party payers unless a client has authorized such disclosure. A licensee will inform the client of the nature of the client information to be disclosed or released to the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will not discuss confidential information in any setting unless privacy can be ensured.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will protect the confidentiality of clients during legal proceedings to the extent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licensee will protect the confidentiality of clients when the licensee is responding to requests from members of the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licensee will protect the confidentiality of clients’ written and electronic records and other sensitive information. A licensee will take reasonable steps to ensure that client records are stored in a secure location and that client records are not available to others who are not authorized to have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licensee will take precautions to ensure and maintain the confidentiality of information transmitted to other parties through the use of computers, electronic mail, facsimile machines, telephones, telephone answering machines, and other electronic or computer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licensee will transfer or dispose of client records in a manner that protects client confidentiality and is consistent with federal and state statutes, rules and regulations and the guidelines of the licensee’s employer or agency,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licensee will take reasonable precautions to protect client confidentiality in the event of the licensee’s termination of practice, incapacitation,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licensee will not disclose identifying information when discussing a client for teaching or training purposes or in public presentations unless the client has consented to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licensee will not disclose identifying information when discussing a client with consultants unless the client has consented to disclosure of confidential information or there is a compelling need for such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Consistent with the preceding standards, a licensee will protect the confidentiality of deceased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897.2(5)</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maintain sufficient, timely, and accurate documentation in client records. A licensee’s records will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in any employment setting, including private practice, will maintain timely records that include subjective and objective data, assessment or diagnosis, a treatment plan, and any revisions to the assessment, diagnosis, or plan made during the course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will store records in accordance with state and federal statutes, rules, and regulations governing record retention and with the guidelines of the licensee’s employer or agency, if applicable. If no other legal provisions govern record retention, a licensee will store all client records for a minimum of seven years following the termination of services to ensure reasonable future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897.2(6)</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A licensee who provides clinical services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client with reasonable access to records concerning the client. A licensee who is concerned that a client’s access to the client’s records could cause serious misunderstanding or harm to the client will provide assistance in interpreting the records and consultation with the client regarding the records. A licensee may limit a client’s access to the client’s records, or portions of the records, only in exceptional circumstances when there is compelling evidence that such access would cause serious harm to the client. Both the client’s request and the rationale for withholding some or all of a record should be documented in the client’s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steps to protect the confidentiality of other individuals identified or discussed in any records to which a client is provided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897.2(7)</w:t>
      </w:r>
      <w:r>
        <w:rPr>
          <w:rFonts w:ascii="Times New Roman" w:hAnsi="Times New Roman"/>
          <w:b w:val="false"/>
          <w:i w:val="false"/>
          <w:color w:val="000000"/>
          <w:sz w:val="22"/>
        </w:rPr>
        <w:t> </w:t>
      </w:r>
      <w:r>
        <w:rPr>
          <w:rFonts w:ascii="Times New Roman" w:hAnsi="Times New Roman"/>
          <w:b w:val="false"/>
          <w:i/>
          <w:color w:val="000000"/>
          <w:sz w:val="22"/>
        </w:rPr>
        <w:t xml:space="preserve">Billing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bill only for services that have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not accept goods or services from the client or a third party in exchange for the licensee’s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will not solicit a private fee or other remuneration for providing services to clients who are entitled to such available services through the licensee’s employer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will not accept, give, offer or solicit a fee, commission, rebate, fee split, or other form of consideration for the referral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will not permit any person to share in the fees for professional services, other than a partner, an employee, an associate in a professional firm, or a consultant to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will,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billing practices that accurately reflect the nature and extent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client of the fee for services at the initial session or meeting with the client. A licensee will provide a written payment arrangement to a client at the commencement of the professional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897.2(8)</w:t>
      </w:r>
      <w:r>
        <w:rPr>
          <w:rFonts w:ascii="Times New Roman" w:hAnsi="Times New Roman"/>
          <w:b w:val="false"/>
          <w:i w:val="false"/>
          <w:color w:val="000000"/>
          <w:sz w:val="22"/>
        </w:rPr>
        <w:t> </w:t>
      </w:r>
      <w:r>
        <w:rPr>
          <w:rFonts w:ascii="Times New Roman" w:hAnsi="Times New Roman"/>
          <w:b w:val="false"/>
          <w:i/>
          <w:color w:val="000000"/>
          <w:sz w:val="22"/>
        </w:rPr>
        <w:t xml:space="preserve">Dual relationships and conflicts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“Dual relationship” means that a licensee develops or assumes a secondary role with a client, including but not limited to a social relationship, an emotional relationship, an employment relationship, or a business association. For purposes of these rules, “dual relationship” does not include a sexual relationship. Standards governing sexual relationships are found in subrule </w:t>
      </w:r>
      <w:r>
        <w:rPr>
          <w:rFonts w:ascii="Times New Roman" w:hAnsi="Times New Roman"/>
          <w:b w:val="false"/>
          <w:i w:val="false"/>
          <w:color w:val="000000"/>
          <w:sz w:val="22"/>
        </w:rPr>
        <w:t>897.2(9)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clients. A licensee will not engage in a dual relationship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Former clients. A licensee will not engage in a dual relationship with a client within five years of the termination of the client relationship. A licensee will not engage in a dual relationship with a former client, regardless of the length of time elapsed since termination of the client relationship,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Unavoidable dual relationships with current and former clients. If a dual relationship with a current or former client is unavoidable, the licensee will take steps to protect the client and will be responsible for setting clear, appropriate, and culturally sensitive boundaries. The burden will be on the licensee to show that the dual relationship was unavoidable. In determining whether a dual relationship was unavoidable, the board will consider the size of the community, the nature of the relationship, and the risk of exploitation or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will avoid conflicts of interest that interfere with the exercise of professional discretion and impartial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will not continue in a professional relationship with a client when the licensee has become emotionally involved with the client to the extent that objectivity is no longer possible in providing the required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licensee will inform the client when a real or potential conflict of interest arises and take reasonable steps to resolve the issue in a manner that makes the client’s interests primary and protects the client’s interests to the greatest extent possible. In some cases, protecting the client’s interests may require termination of the professional relationship with proper referral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licensee will not take unfair advantage of any professional relationship or exploit others to further the licensee’s personal, religious, political, or business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provides services to two or more people who have a relationship with each other will clarify with all parties, when appropriate and in a manner consistent with the confidentiality standards of subrule </w:t>
      </w:r>
      <w:r>
        <w:rPr>
          <w:rFonts w:ascii="Times New Roman" w:hAnsi="Times New Roman"/>
          <w:b w:val="false"/>
          <w:i w:val="false"/>
          <w:color w:val="000000"/>
          <w:sz w:val="22"/>
        </w:rPr>
        <w:t>897.2(4)</w:t>
      </w:r>
      <w:r>
        <w:rPr>
          <w:rFonts w:ascii="Times New Roman" w:hAnsi="Times New Roman"/>
          <w:b w:val="false"/>
          <w:i w:val="false"/>
          <w:color w:val="000000"/>
          <w:sz w:val="22"/>
        </w:rPr>
        <w:t xml:space="preserve">, which individuals will be considered clients and the nature of the licensee’s professional obligations to the various individuals who are receiving services. A licensee who anticipates a conflict of interest among the individuals receiving services or who anticipates having to perform in potentially conflicting roles will clarify, when appropriate and in a manner consistent with the confidentiality standards at subrule </w:t>
      </w:r>
      <w:r>
        <w:rPr>
          <w:rFonts w:ascii="Times New Roman" w:hAnsi="Times New Roman"/>
          <w:b w:val="false"/>
          <w:i w:val="false"/>
          <w:color w:val="000000"/>
          <w:sz w:val="22"/>
        </w:rPr>
        <w:t>897.2(4)</w:t>
      </w:r>
      <w:r>
        <w:rPr>
          <w:rFonts w:ascii="Times New Roman" w:hAnsi="Times New Roman"/>
          <w:b w:val="false"/>
          <w:i w:val="false"/>
          <w:color w:val="000000"/>
          <w:sz w:val="22"/>
        </w:rPr>
        <w:t>, the licensee’s role with the parties involved and take appropriate action to minimize any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897.2(9)</w:t>
      </w:r>
      <w:r>
        <w:rPr>
          <w:rFonts w:ascii="Times New Roman" w:hAnsi="Times New Roman"/>
          <w:b w:val="false"/>
          <w:i w:val="false"/>
          <w:color w:val="000000"/>
          <w:sz w:val="22"/>
        </w:rPr>
        <w:t> </w:t>
      </w:r>
      <w:r>
        <w:rPr>
          <w:rFonts w:ascii="Times New Roman" w:hAnsi="Times New Roman"/>
          <w:b w:val="false"/>
          <w:i/>
          <w:color w:val="000000"/>
          <w:sz w:val="22"/>
        </w:rPr>
        <w:t xml:space="preserve">Sexual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clients. A licensee will not engage in sexual activities or sexual contact with a client, regardless of whether such contact is consensual or nonconsensual.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clients. A licensee will not engage in sexual activities or sexual contact with a former client within the five years following termination of the client relationship. A licensee will not engage in sexual activities or sexual contact with a former client, regardless of the length of time elapsed since termination of the client relationship, if the client has a history of physical, emotional, or sexual abuse or if the client has ever been diagnosed with any form of psychosis or personality disorder or if the client is likely to remain in need of therapy due to the intensity or chronicity of a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will not engage in sexual activities or sexual contact with a client’s or former client’s spouse or significant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will not engage in sexual activities or sexual contact with a client’s or former client’s relative within the second degree of consanguinity (client’s parent, grandparent, child, grandchild, or sibling)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will not provide clinical services to an individual with whom the licensee has had prior sexual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897.2(10)</w:t>
      </w:r>
      <w:r>
        <w:rPr>
          <w:rFonts w:ascii="Times New Roman" w:hAnsi="Times New Roman"/>
          <w:b w:val="false"/>
          <w:i w:val="false"/>
          <w:color w:val="000000"/>
          <w:sz w:val="22"/>
        </w:rPr>
        <w:t> </w:t>
      </w:r>
      <w:r>
        <w:rPr>
          <w:rFonts w:ascii="Times New Roman" w:hAnsi="Times New Roman"/>
          <w:b w:val="false"/>
          <w:i/>
          <w:color w:val="000000"/>
          <w:sz w:val="22"/>
        </w:rPr>
        <w:t xml:space="preserve">Physical contact. </w:t>
      </w:r>
      <w:r>
        <w:rPr>
          <w:rFonts w:ascii="Times New Roman" w:hAnsi="Times New Roman"/>
          <w:b w:val="false"/>
          <w:i w:val="false"/>
          <w:color w:val="000000"/>
          <w:sz w:val="22"/>
        </w:rPr>
        <w:t>A licensee will not engage in physical contact with a client when there is a possibility of psychological harm to the client as a result of the contact. A licensee who engages in appropriate physical contact with a client is responsible for setting clear, appropriate, and culturally and age-sensitive boundaries that govern such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terminate services when such services are no longer required or no longer serve the client’s needs or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take reasonable steps to avoid abandoning clients who are still in need of services. A licensee will assist in making appropriate arrangements for continuation of services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will not terminate services to pursue a social, financial, business, romantic, or sexual relationship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anticipates the termination or interruption of services to a client will notify the client promptly and seek the transfer, referral, or continuation of services in relation to the client’s needs and preferences.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who is leaving an employment setting will inform clients, to the extent possible given the nature of the termination of the employment relationship, of appropriate options for the continuation of services and of the benefits and risks of the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employer who terminates a licensee is also a licensee, the employer will provide notice to clients or allow the licensee the opportunity to provide notice to clients to ensure appropriate case closure or continuation or transfer of services if continued treatment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will comply with the following additional standards regarding termination of the client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Termination of a client relationship will be documented in the client record. Absent written documentation of termination, the professional relationship will be considered ongoing.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who practices in a fee-for-service setting may terminate services to a client who is not paying an overdue balance only if the financial contractual arrangements have been made clear to the client, if the client does not pose an imminent danger to self or others, and if the clinical and other consequences of the current nonpayment have been addressed and discussed with the client. Prior to terminating services under this subrule, a licensee will make reasonable efforts to collect the unpaid fees and will make appropriate referrals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897.2(12)</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Misrepresentations, disclosure. </w:t>
      </w:r>
      <w:r>
        <w:rPr>
          <w:rFonts w:ascii="Times New Roman" w:hAnsi="Times New Roman"/>
          <w:b w:val="false"/>
          <w:i w:val="false"/>
          <w:color w:val="000000"/>
          <w:sz w:val="22"/>
        </w:rPr>
        <w:t>A licensee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make a materially false statement, or fail to disclose a relevant material fact, in a letter of reference, application, referral, report or other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allow another person to use the licensee’s license or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aid or abet a person who is misrepresenting the person’s professional credentials or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Impersonate another person or misrepresent an organizational affiliation in one’s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Further the application or make a recommendation for professional licensure of another person who is known by the licensee to be unqualified in respect to character, education, experience, or other relevant attribute.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 to notify the appropriate licensing authority of any human services professional who is practicing or teaching in violation of the laws or rules governing that person’s professional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 in professional activities, including advertising, that involve dishonesty, fraud, deceit,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Advertise services in a false or misleading manner or fail to indicate in the advertisement the name, highest relevant degree, and licensure status of the provider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 to distinguish, or purposely mislead the reader or listener, in public announcements, addresses, letters and reports as to whether the statements are made as a private individual or whether they are made on behalf of an employer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Engage in direct solicitation of potential clients for pecuniary gain in a manner or in circumstances that constitute overreacting, undue influence, misrepresentation or invasion of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 to inform each client of any financial interests that might accrue to the licensee for referral to any other person or organization or for the use of tests, books, or apparatus.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 to inform each client that the client may be entitled to the same services from a public agency if the licensee is employed by that public agency and also offers services privately.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Make claims of professional superiority that cannot be substantiated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Guarantee that satisfaction or a cure will result from the performance of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Claim or use any secret or special method of treatment or techniques that the licensee refuses to divulge to professional colleagues.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Take credit for work not personally performed, whether by giving inaccurate information or failing to give accurate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Offer social work services or use the designation of licensed bachelor social worker, licensed master social worker, or licensed independent social worker; use the designations LBSW, LMSW, or LISW or any other designation indicating licensure status; or hold oneself out as practicing at a certain level of licensure unless the licensee is duly licensed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Permit another person to use the licensee’s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897.2(13)</w:t>
      </w:r>
      <w:r>
        <w:rPr>
          <w:rFonts w:ascii="Times New Roman" w:hAnsi="Times New Roman"/>
          <w:b w:val="false"/>
          <w:i w:val="false"/>
          <w:color w:val="000000"/>
          <w:sz w:val="22"/>
        </w:rPr>
        <w:t> </w:t>
      </w:r>
      <w:r>
        <w:rPr>
          <w:rFonts w:ascii="Times New Roman" w:hAnsi="Times New Roman"/>
          <w:b w:val="false"/>
          <w:i/>
          <w:color w:val="000000"/>
          <w:sz w:val="22"/>
        </w:rPr>
        <w:t xml:space="preserve">Impairments.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while intoxicated or under the influence of alcohol or drugs not prescribed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while experiencing a mental or physical impairment that adversely affects the ability of the licensee to perform professional duties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if involuntarily committed for treatment of mental illness, drug addiction, or 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self-reports an impairment or suspected impairment to the board may be eligible for confidential monitoring by the impaired practitioner review committee. The licensee will be provided the Impaired Practitioner Report form to initiate the process. Standards governing the impaired practitioner review committee may be found in </w:t>
      </w:r>
      <w:hyperlink r:id="rId6">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897.2(14)</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If engaged in research,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 carefully the possible consequences for human beings participating in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 each participant from unwarranted physical and mental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consent of the participant is voluntary and informed and that each participant executes a signed informed consent form that details the nature of the research and any known possible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 information obtained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knowingly report distorted, erroneous,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897.2(15)</w:t>
      </w:r>
      <w:r>
        <w:rPr>
          <w:rFonts w:ascii="Times New Roman" w:hAnsi="Times New Roman"/>
          <w:b w:val="false"/>
          <w:i w:val="false"/>
          <w:color w:val="000000"/>
          <w:sz w:val="22"/>
        </w:rPr>
        <w:t> </w:t>
      </w:r>
      <w:r>
        <w:rPr>
          <w:rFonts w:ascii="Times New Roman" w:hAnsi="Times New Roman"/>
          <w:b w:val="false"/>
          <w:i/>
          <w:color w:val="000000"/>
          <w:sz w:val="22"/>
        </w:rPr>
        <w:t xml:space="preserve">Organization relationships and business practices. </w:t>
      </w:r>
      <w:r>
        <w:rPr>
          <w:rFonts w:ascii="Times New Roman" w:hAnsi="Times New Roman"/>
          <w:b w:val="false"/>
          <w:i w:val="false"/>
          <w:color w:val="000000"/>
          <w:sz w:val="22"/>
        </w:rPr>
        <w:t>A licensee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Solicit the clients of colleagues or assume professional responsibility for clients of another agency or colleague without appropriate communication with that agency or colleague.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Abandon an agency, organization, institution, or group practice without reasonable notice or under circumstances that seriously impair the delivery of professional care to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Deliberately falsify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 to submit required reports and documents in a timely fashion to the extent that the well-being of the client is adversely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Delegate professional responsibilities to a person when the licensee knows, or has reason to know, that the person is not qualified by training, education, experience, or classification to perform the requested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897.2(16)</w:t>
      </w:r>
      <w:r>
        <w:rPr>
          <w:rFonts w:ascii="Times New Roman" w:hAnsi="Times New Roman"/>
          <w:b w:val="false"/>
          <w:i w:val="false"/>
          <w:color w:val="000000"/>
          <w:sz w:val="22"/>
        </w:rPr>
        <w:t> </w:t>
      </w:r>
      <w:r>
        <w:rPr>
          <w:rFonts w:ascii="Times New Roman" w:hAnsi="Times New Roman"/>
          <w:b w:val="false"/>
          <w:i/>
          <w:color w:val="000000"/>
          <w:sz w:val="22"/>
        </w:rPr>
        <w:t xml:space="preserve">Discrimination and sexual harassment.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not practice, condone, or facilitate discrimination against a client, student, or supervisee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not sexually harass a client, student, or supervisee.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897.2(17)</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licensee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without receiving supervision as needed, given the licensee’s level of practice, experience, and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a professional discipline without an appropriate license or after expiration of the required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Physically or verbally abuse a client or colleague.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 possess, or attempt to obtain or possess a controlled substance without lawful authority; or sell, prescribe, give away, or administer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897.2(18)</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the board’s rules of conduct and the National Association of Social Workers (NASW) Code of Ethics. </w:t>
      </w:r>
      <w:r>
        <w:rPr>
          <w:rFonts w:ascii="Times New Roman" w:hAnsi="Times New Roman"/>
          <w:b w:val="false"/>
          <w:i w:val="false"/>
          <w:color w:val="000000"/>
          <w:sz w:val="22"/>
        </w:rPr>
        <w:t>The NASW Code of Ethics is one resource for practitioners with respect to practice and ethical issues, and selected sections from the NASW Code of Ethics have been incorporated into the rules of conduct. A licensee’s professional conduct is governed by the board’s rules of conduct, and a licensee may be disciplined for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897.2(19)</w:t>
      </w:r>
      <w:r>
        <w:rPr>
          <w:rFonts w:ascii="Times New Roman" w:hAnsi="Times New Roman"/>
          <w:b w:val="false"/>
          <w:i w:val="false"/>
          <w:color w:val="000000"/>
          <w:sz w:val="22"/>
        </w:rPr>
        <w:t> </w:t>
      </w:r>
      <w:r>
        <w:rPr>
          <w:rFonts w:ascii="Times New Roman" w:hAnsi="Times New Roman"/>
          <w:b w:val="false"/>
          <w:i/>
          <w:color w:val="000000"/>
          <w:sz w:val="22"/>
        </w:rPr>
        <w:t xml:space="preserve">Electronic social work services. </w:t>
      </w:r>
      <w:r>
        <w:rPr>
          <w:rFonts w:ascii="Times New Roman" w:hAnsi="Times New Roman"/>
          <w:b w:val="false"/>
          <w:i w:val="false"/>
          <w:color w:val="000000"/>
          <w:sz w:val="22"/>
        </w:rPr>
        <w:t>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the client’s suitability and capacity for online and remote services at the point of the client’s first contact and use professional judgment to determine whether an initial in-person, videoconference, or telephone consultation is warranted before undertaking electronic social work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reasonable steps to verify the client’s identity, ability to consent to services, and location. When verification of a client’s identity is not feasible, social workers will inform the client of the limitations of services that can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Continually assess a client’s suitability for electronic social work services during the course of the professional relationship.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8/14/03, Notice 6/11/03—published 9/3/03, effective 10/8/03]</w:t>
      </w:r>
    </w:p>
    <w:p>
      <w:pPr>
        <w:spacing w:before="0" w:after="0"/>
        <w:ind w:left="120"/>
        <w:jc w:val="center"/>
      </w:pPr>
      <w:r>
        <w:rPr>
          <w:rFonts w:ascii="Times New Roman" w:hAnsi="Times New Roman"/>
          <w:b w:val="false"/>
          <w:i w:val="false"/>
          <w:color w:val="000000"/>
          <w:sz w:val="21"/>
        </w:rPr>
        <w:t>[Filed ARC 3744C</w:t>
      </w:r>
      <w:r>
        <w:rPr>
          <w:rFonts w:ascii="Times New Roman" w:hAnsi="Times New Roman"/>
          <w:b w:val="false"/>
          <w:i w:val="false"/>
          <w:color w:val="000000"/>
          <w:sz w:val="21"/>
        </w:rPr>
        <w:t xml:space="preserve"> (Notice ARC 3433C, IAB 11/8/17)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8059C</w:t>
      </w:r>
      <w:r>
        <w:rPr>
          <w:rFonts w:ascii="Times New Roman" w:hAnsi="Times New Roman"/>
          <w:b w:val="false"/>
          <w:i w:val="false"/>
          <w:color w:val="000000"/>
          <w:sz w:val="21"/>
        </w:rPr>
        <w:t xml:space="preserve"> (Notice ARC 7641C, IAB 2/21/24)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pdf" Type="http://schemas.openxmlformats.org/officeDocument/2006/relationships/hyperlink" Id="rId4"/>
    <Relationship TargetMode="External" Target="https://www.legis.iowa.gov/docs/ico/chapter/154C.pdf" Type="http://schemas.openxmlformats.org/officeDocument/2006/relationships/hyperlink" Id="rId5"/>
    <Relationship TargetMode="External" Target="https://www.legis.iowa.gov/docs/iac/chapter/481.505.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4C.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