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896</w:t>
      </w:r>
    </w:p>
    <w:p>
      <w:pPr>
        <w:spacing w:before="0" w:after="0"/>
        <w:ind w:left="120"/>
        <w:jc w:val="center"/>
      </w:pPr>
      <w:r>
        <w:rPr>
          <w:rFonts w:ascii="Times New Roman" w:hAnsi="Times New Roman"/>
          <w:b w:val="false"/>
          <w:i w:val="false"/>
          <w:color w:val="000000"/>
          <w:sz w:val="21"/>
        </w:rPr>
        <w:t>CONTINUING EDUCATION FOR SOCIAL WORKERS</w:t>
      </w:r>
    </w:p>
    <w:p>
      <w:pPr>
        <w:spacing w:before="0" w:after="0"/>
        <w:ind w:left="120"/>
        <w:jc w:val="center"/>
      </w:pPr>
      <w:r>
        <w:rPr>
          <w:rFonts w:ascii="Times New Roman" w:hAnsi="Times New Roman"/>
          <w:b w:val="false"/>
          <w:i w:val="false"/>
          <w:color w:val="000000"/>
          <w:sz w:val="14"/>
        </w:rPr>
        <w:t>[Prior to 9/18/24, see Professional Licensure Division[645] Ch 281]</w:t>
      </w:r>
    </w:p>
    <w:p>
      <w:pPr>
        <w:spacing w:before="0" w:after="0"/>
        <w:ind w:left="120"/>
        <w:jc w:val="both"/>
      </w:pPr>
      <w:r>
        <w:rPr>
          <w:rFonts w:ascii="Times New Roman" w:hAnsi="Times New Roman"/>
          <w:b/>
          <w:i w:val="false"/>
          <w:color w:val="000000"/>
          <w:sz w:val="22"/>
        </w:rPr>
        <w:t>481—896.1</w:t>
      </w:r>
      <w:r>
        <w:rPr>
          <w:rFonts w:ascii="Times New Roman" w:hAnsi="Times New Roman"/>
          <w:b/>
          <w:i w:val="false"/>
          <w:color w:val="000000"/>
          <w:sz w:val="22"/>
        </w:rPr>
        <w:t xml:space="preserve">(154C)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social worker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481—896.2</w:t>
      </w:r>
      <w:r>
        <w:rPr>
          <w:rFonts w:ascii="Times New Roman" w:hAnsi="Times New Roman"/>
          <w:b/>
          <w:i w:val="false"/>
          <w:color w:val="000000"/>
          <w:sz w:val="22"/>
        </w:rPr>
        <w:t xml:space="preserve">(154C)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January 1 of each odd-numbered year and ending on December 31 of the next even-numbered year. Each biennium, each person who is licensed to practice as a licensee in this state will be required to complete a minimum of 27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during the license renewal period will not be required to complete continuing education as a prerequisite for the first renewal of their licenses. Continuing education hours acquired anytime from the initial licensing until the second renewal may be used. The new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896.2(3)</w:t>
      </w:r>
      <w:r>
        <w:rPr>
          <w:rFonts w:ascii="Times New Roman" w:hAnsi="Times New Roman"/>
          <w:b w:val="false"/>
          <w:i w:val="false"/>
          <w:color w:val="000000"/>
          <w:sz w:val="22"/>
        </w:rPr>
        <w:t> </w:t>
      </w:r>
      <w:r>
        <w:rPr>
          <w:rFonts w:ascii="Times New Roman" w:hAnsi="Times New Roman"/>
          <w:b w:val="false"/>
          <w:i w:val="false"/>
          <w:color w:val="000000"/>
          <w:sz w:val="22"/>
        </w:rPr>
        <w:t>Requirement of supervisors. For licensure at the independent level, persons serving in a supervisory role must complete three hours of continuing education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896.2(4)</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896.2(5)</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896.2(6)</w:t>
      </w:r>
      <w:r>
        <w:rPr>
          <w:rFonts w:ascii="Times New Roman" w:hAnsi="Times New Roman"/>
          <w:b w:val="false"/>
          <w:i w:val="false"/>
          <w:color w:val="000000"/>
          <w:sz w:val="22"/>
        </w:rPr>
        <w:t> </w:t>
      </w:r>
      <w:r>
        <w:rPr>
          <w:rFonts w:ascii="Times New Roman" w:hAnsi="Times New Roman"/>
          <w:b w:val="false"/>
          <w:i w:val="false"/>
          <w:color w:val="000000"/>
          <w:sz w:val="22"/>
        </w:rPr>
        <w:t>The licensee will maintain a personal file with all documentation of the continuing education credits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481—896.3</w:t>
      </w:r>
      <w:r>
        <w:rPr>
          <w:rFonts w:ascii="Times New Roman" w:hAnsi="Times New Roman"/>
          <w:b/>
          <w:i w:val="false"/>
          <w:color w:val="000000"/>
          <w:sz w:val="22"/>
        </w:rPr>
        <w:t xml:space="preserve">(154C,272C)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Contains one of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Human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the development of human behavior in the life cycle of individuals, families and the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and organizational theories;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Normal, abnormal and addictive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Abuse and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Effects of culture, race, ethnicity, sexual orientation and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Utilization of the current edition of the Diagnostic and Statistical Manual of Mental Disorders (DSM-5-TR) of the American Psychiatric Association, published March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Theoretical approaches and models of practice—individual, couple, and family therapy and group psychotherapy;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Establishing treatment goals and monitoring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Techniques of social work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work research, program evaluation, or practice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administration, and social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Advocacy and prevention in social work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staff and other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social work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work ethics as they pertain to the 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area, as demonstrated by the licensee, that directly relates to the licensee’s individual practice as a social worker. The licensee will submit for consideration by the board a specific explanation of how the program relates to the licensee’s individual practice setting as a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896.3(2)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hours of credit can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three hours per biennium in social work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rules. Continuing education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designed for the purpose of enhancing the licensee’s administrative, management or other clinical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Activities/programs that are sponsored or approved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ASWB Approved Continuing Education (ACE)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Association of Social Workers (NASW) Continuing Education Unit (CEU) Approval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 bono or volunteer work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may earn a maximum of 3 of the required 27 hours of continuing education for credit during one biennium by performing pro bono or volunteer services for indigent, underserved populations or in areas of critical need within the state of Iowa. Such services must be approved in advance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will apply for prior approval of pro bono or volunteer services by sending a letter to the board indicating that the following requirements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for these services is identified including information about the clients, the services that will be offered, how they will be performed and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will be established between licensee and client(s), and each party will be aware that the services are being provided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services will be subject to all the legal responsibilities and obligations related to the licensee’s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keep records and files of these client services pursuant to the rules of </w:t>
      </w:r>
      <w:hyperlink r:id="rId4">
        <w:r>
          <w:rPr>
            <w:rStyle w:val="Hyperlink"/>
            <w:rFonts w:ascii="Times New Roman" w:hAnsi="Times New Roman"/>
            <w:b w:val="false"/>
            <w:i w:val="false"/>
            <w:color w:val="000000"/>
            <w:sz w:val="22"/>
          </w:rPr>
          <w:t>481—Chapter 897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site for pro bono or volunteer services must provide a letter stating that these services are to be performed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Upon review, the licensee will receive a letter from the board indicating prior approval for these pro bono or volunteer services that will be done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such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licensee must provide the board a letter stating that the services were performed as planned.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representative from the site must provide a letter indicating such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at an approved college, university or graduate school of social work. A licensee may receive credit on a one-time basis,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Instruction, presentation, or moderation of continuing education programs. A licensee may receive credit on a one-time basis, not to exceed three hours of continuing education credit per biennium, for programs at which the licensee is actually in attendance for the complete program, provided the licensee receives a certificate of attendance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Authorship of professional papers, publications or books and preparation of presentations and exhibits. A presentation must be made before a professional audience. Presentations may receive credit on a one-time basis for the article, publication, book or preparation of a presentation or exhibit,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Supervision of a social work practicum student(s) from an accredited social work education program. A licensee may receive one credit for every 100 hours supervised, not to exceed 6 hours of continuing education credit per biennium.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8058C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12/22/00, Notice 9/6/00—published 1/10/01, effective 2/14/01]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8/30/01, Notice 6/13/01—published 9/19/01, effective 10/24/01]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8/12/04, Notice 6/9/04—published 9/1/04, effective 10/6/04]</w:t>
      </w:r>
    </w:p>
    <w:p>
      <w:pPr>
        <w:spacing w:before="0" w:after="0"/>
        <w:ind w:left="120"/>
        <w:jc w:val="center"/>
      </w:pPr>
      <w:r>
        <w:rPr>
          <w:rFonts w:ascii="Times New Roman" w:hAnsi="Times New Roman"/>
          <w:b w:val="false"/>
          <w:i w:val="false"/>
          <w:color w:val="000000"/>
          <w:sz w:val="21"/>
        </w:rPr>
        <w:t>[Filed 8/9/05,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5/10/06, Notice 3/15/06—published 6/7/06, effective 7/12/06]</w:t>
      </w:r>
    </w:p>
    <w:p>
      <w:pPr>
        <w:spacing w:before="0" w:after="0"/>
        <w:ind w:left="120"/>
        <w:jc w:val="center"/>
      </w:pPr>
      <w:r>
        <w:rPr>
          <w:rFonts w:ascii="Times New Roman" w:hAnsi="Times New Roman"/>
          <w:b w:val="false"/>
          <w:i w:val="false"/>
          <w:color w:val="000000"/>
          <w:sz w:val="21"/>
        </w:rPr>
        <w:t>[Filed ARC 8371B</w:t>
      </w:r>
      <w:r>
        <w:rPr>
          <w:rFonts w:ascii="Times New Roman" w:hAnsi="Times New Roman"/>
          <w:b w:val="false"/>
          <w:i w:val="false"/>
          <w:color w:val="000000"/>
          <w:sz w:val="21"/>
        </w:rPr>
        <w:t xml:space="preserve"> (Notice ARC 8101B,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8587B</w:t>
      </w:r>
      <w:r>
        <w:rPr>
          <w:rFonts w:ascii="Times New Roman" w:hAnsi="Times New Roman"/>
          <w:b w:val="false"/>
          <w:i w:val="false"/>
          <w:color w:val="000000"/>
          <w:sz w:val="21"/>
        </w:rPr>
        <w:t xml:space="preserve"> (Notice ARC 8368B,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0093C</w:t>
      </w:r>
      <w:r>
        <w:rPr>
          <w:rFonts w:ascii="Times New Roman" w:hAnsi="Times New Roman"/>
          <w:b w:val="false"/>
          <w:i w:val="false"/>
          <w:color w:val="000000"/>
          <w:sz w:val="21"/>
        </w:rPr>
        <w:t xml:space="preserve"> (Notice ARC 9946B, IAB 12/28/11)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3744C</w:t>
      </w:r>
      <w:r>
        <w:rPr>
          <w:rFonts w:ascii="Times New Roman" w:hAnsi="Times New Roman"/>
          <w:b w:val="false"/>
          <w:i w:val="false"/>
          <w:color w:val="000000"/>
          <w:sz w:val="21"/>
        </w:rPr>
        <w:t xml:space="preserve"> (Notice ARC 3433C, IAB 11/8/17)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4981C</w:t>
      </w:r>
      <w:r>
        <w:rPr>
          <w:rFonts w:ascii="Times New Roman" w:hAnsi="Times New Roman"/>
          <w:b w:val="false"/>
          <w:i w:val="false"/>
          <w:color w:val="000000"/>
          <w:sz w:val="21"/>
        </w:rPr>
        <w:t xml:space="preserve"> (Notice ARC 4727C, IAB 10/23/19)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8058C</w:t>
      </w:r>
      <w:r>
        <w:rPr>
          <w:rFonts w:ascii="Times New Roman" w:hAnsi="Times New Roman"/>
          <w:b w:val="false"/>
          <w:i w:val="false"/>
          <w:color w:val="000000"/>
          <w:sz w:val="21"/>
        </w:rPr>
        <w:t xml:space="preserve"> (Notice ARC 7640C, IAB 2/21/24)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281.3(1) delayed 70 days by the Administrative Rules Review Committee at its meeting held February 9, 2001.</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89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54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