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SOCIAL WORK</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895</w:t>
      </w:r>
    </w:p>
    <w:p>
      <w:pPr>
        <w:spacing w:before="0" w:after="0"/>
        <w:ind w:left="120"/>
        <w:jc w:val="center"/>
      </w:pPr>
      <w:r>
        <w:rPr>
          <w:rFonts w:ascii="Times New Roman" w:hAnsi="Times New Roman"/>
          <w:b w:val="false"/>
          <w:i w:val="false"/>
          <w:color w:val="000000"/>
          <w:sz w:val="21"/>
        </w:rPr>
        <w:t>LICENSURE OF SOCIAL WORKERS</w:t>
      </w:r>
    </w:p>
    <w:p>
      <w:pPr>
        <w:spacing w:before="0" w:after="0"/>
        <w:ind w:left="120"/>
        <w:jc w:val="center"/>
      </w:pPr>
      <w:r>
        <w:rPr>
          <w:rFonts w:ascii="Times New Roman" w:hAnsi="Times New Roman"/>
          <w:b w:val="false"/>
          <w:i w:val="false"/>
          <w:color w:val="000000"/>
          <w:sz w:val="14"/>
        </w:rPr>
        <w:t>[Prior to 9/18/24, see Professional Licensure Division[645] Ch 280]</w:t>
      </w:r>
    </w:p>
    <w:p>
      <w:pPr>
        <w:spacing w:before="0" w:after="0"/>
        <w:ind w:left="120"/>
        <w:jc w:val="both"/>
      </w:pPr>
      <w:r>
        <w:rPr>
          <w:rFonts w:ascii="Times New Roman" w:hAnsi="Times New Roman"/>
          <w:b/>
          <w:i w:val="false"/>
          <w:color w:val="000000"/>
          <w:sz w:val="22"/>
        </w:rPr>
        <w:t>481—895.1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“ASWB” </w:t>
      </w:r>
      <w:r>
        <w:rPr>
          <w:rFonts w:ascii="Times New Roman" w:hAnsi="Times New Roman"/>
          <w:b w:val="false"/>
          <w:i w:val="false"/>
          <w:color w:val="000000"/>
          <w:sz w:val="22"/>
        </w:rPr>
        <w:t>means the Association of Social Work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“LBSW” </w:t>
      </w:r>
      <w:r>
        <w:rPr>
          <w:rFonts w:ascii="Times New Roman" w:hAnsi="Times New Roman"/>
          <w:b w:val="false"/>
          <w:i w:val="false"/>
          <w:color w:val="000000"/>
          <w:sz w:val="22"/>
        </w:rPr>
        <w:t>means licensed bachelor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social worker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“LISW” </w:t>
      </w:r>
      <w:r>
        <w:rPr>
          <w:rFonts w:ascii="Times New Roman" w:hAnsi="Times New Roman"/>
          <w:b w:val="false"/>
          <w:i w:val="false"/>
          <w:color w:val="000000"/>
          <w:sz w:val="22"/>
        </w:rPr>
        <w:t>means licensed independent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“LMSW” </w:t>
      </w:r>
      <w:r>
        <w:rPr>
          <w:rFonts w:ascii="Times New Roman" w:hAnsi="Times New Roman"/>
          <w:b w:val="false"/>
          <w:i w:val="false"/>
          <w:color w:val="000000"/>
          <w:sz w:val="22"/>
        </w:rPr>
        <w:t>means licensed master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requirements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481—895.8</w:t>
        </w:r>
      </w:hyperlink>
      <w:r>
        <w:rPr>
          <w:rFonts w:ascii="Times New Roman" w:hAnsi="Times New Roman"/>
          <w:b w:val="false"/>
          <w:i w:val="false"/>
          <w:color w:val="000000"/>
          <w:sz w:val="22"/>
        </w:rPr>
        <w:t>(17A,147,272C).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481—895.2</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services subject to regulation. </w:t>
      </w:r>
      <w:r>
        <w:rPr>
          <w:rFonts w:ascii="Times New Roman" w:hAnsi="Times New Roman"/>
          <w:b w:val="false"/>
          <w:i w:val="false"/>
          <w:color w:val="000000"/>
          <w:sz w:val="22"/>
        </w:rPr>
        <w:t>Social work services provided to an individual in this state through telephonic, electronic or other means, regardless of the location of the social worker, shall constitute the practice of social work and be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481—895.3</w:t>
      </w:r>
      <w:r>
        <w:rPr>
          <w:rFonts w:ascii="Times New Roman" w:hAnsi="Times New Roman"/>
          <w:b/>
          <w:i w:val="false"/>
          <w:color w:val="000000"/>
          <w:sz w:val="22"/>
        </w:rPr>
        <w:t xml:space="preserve">(154C)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application for licensure and pays the nonrefundable licensure fee specified in rule </w:t>
      </w:r>
      <w:hyperlink r:id="rId7">
        <w:r>
          <w:rPr>
            <w:rStyle w:val="Hyperlink"/>
            <w:rFonts w:ascii="Times New Roman" w:hAnsi="Times New Roman"/>
            <w:b w:val="false"/>
            <w:i w:val="false"/>
            <w:color w:val="000000"/>
            <w:sz w:val="22"/>
          </w:rPr>
          <w:t>481—507.19</w:t>
        </w:r>
      </w:hyperlink>
      <w:r>
        <w:rPr>
          <w:rFonts w:ascii="Times New Roman" w:hAnsi="Times New Roman"/>
          <w:b w:val="false"/>
          <w:i w:val="false"/>
          <w:color w:val="000000"/>
          <w:sz w:val="22"/>
        </w:rPr>
        <w:t xml:space="preserve">(147,154C).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895.3(2)</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will be considered by the board until official copies of academic transcripts have been received by the board except as provided in subrule </w:t>
      </w:r>
      <w:r>
        <w:rPr>
          <w:rFonts w:ascii="Times New Roman" w:hAnsi="Times New Roman"/>
          <w:b w:val="false"/>
          <w:i w:val="false"/>
          <w:color w:val="000000"/>
          <w:sz w:val="22"/>
        </w:rPr>
        <w:t>895.3(7)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provides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take the examination(s) provided in rule </w:t>
      </w:r>
      <w:hyperlink r:id="rId8">
        <w:r>
          <w:rPr>
            <w:rStyle w:val="Hyperlink"/>
            <w:rFonts w:ascii="Times New Roman" w:hAnsi="Times New Roman"/>
            <w:b w:val="false"/>
            <w:i w:val="false"/>
            <w:color w:val="000000"/>
            <w:sz w:val="22"/>
          </w:rPr>
          <w:t>481—895.4</w:t>
        </w:r>
      </w:hyperlink>
      <w:r>
        <w:rPr>
          <w:rFonts w:ascii="Times New Roman" w:hAnsi="Times New Roman"/>
          <w:b w:val="false"/>
          <w:i w:val="false"/>
          <w:color w:val="000000"/>
          <w:sz w:val="22"/>
        </w:rPr>
        <w:t>(154C).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895.3(5)</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renewal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895.3(7)</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subrules </w:t>
      </w:r>
      <w:r>
        <w:rPr>
          <w:rFonts w:ascii="Times New Roman" w:hAnsi="Times New Roman"/>
          <w:b w:val="false"/>
          <w:i w:val="false"/>
          <w:color w:val="000000"/>
          <w:sz w:val="22"/>
        </w:rPr>
        <w:t>895.3(2)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895.3(3)</w:t>
      </w:r>
      <w:r>
        <w:rPr>
          <w:rFonts w:ascii="Times New Roman" w:hAnsi="Times New Roman"/>
          <w:b w:val="false"/>
          <w:i w:val="false"/>
          <w:color w:val="000000"/>
          <w:sz w:val="22"/>
        </w:rPr>
        <w:t>, the board will accept the ASWB Social Work Registry verification of academic transcripts and verification of licensure in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481—895.4</w:t>
      </w:r>
      <w:r>
        <w:rPr>
          <w:rFonts w:ascii="Times New Roman" w:hAnsi="Times New Roman"/>
          <w:b/>
          <w:i w:val="false"/>
          <w:color w:val="000000"/>
          <w:sz w:val="22"/>
        </w:rPr>
        <w:t xml:space="preserve">(154C) </w:t>
      </w:r>
      <w:r>
        <w:rPr>
          <w:rFonts w:ascii="Times New Roman" w:hAnsi="Times New Roman"/>
          <w:b/>
          <w:i w:val="false"/>
          <w:color w:val="000000"/>
          <w:sz w:val="22"/>
        </w:rPr>
        <w:t xml:space="preserve">Written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895.4(1)</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ASWB examination at the appropriate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worker—the basic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Master level social worker—the intermediate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Independent level social worker—the clinical level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895.4(2)</w:t>
      </w:r>
      <w:r>
        <w:rPr>
          <w:rFonts w:ascii="Times New Roman" w:hAnsi="Times New Roman"/>
          <w:b w:val="false"/>
          <w:i w:val="false"/>
          <w:color w:val="000000"/>
          <w:sz w:val="22"/>
        </w:rPr>
        <w:t> </w:t>
      </w:r>
      <w:r>
        <w:rPr>
          <w:rFonts w:ascii="Times New Roman" w:hAnsi="Times New Roman"/>
          <w:b w:val="false"/>
          <w:i w:val="false"/>
          <w:color w:val="000000"/>
          <w:sz w:val="22"/>
        </w:rPr>
        <w:t>The board will accept only official results from the ASWB examination service that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895.4(3)</w:t>
      </w:r>
      <w:r>
        <w:rPr>
          <w:rFonts w:ascii="Times New Roman" w:hAnsi="Times New Roman"/>
          <w:b w:val="false"/>
          <w:i w:val="false"/>
          <w:color w:val="000000"/>
          <w:sz w:val="22"/>
        </w:rPr>
        <w:t> </w:t>
      </w:r>
      <w:r>
        <w:rPr>
          <w:rFonts w:ascii="Times New Roman" w:hAnsi="Times New Roman"/>
          <w:b w:val="false"/>
          <w:i w:val="false"/>
          <w:color w:val="000000"/>
          <w:sz w:val="22"/>
        </w:rPr>
        <w:t>The ASWB passing score will be utilized as the Iowa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sit for the examination if the applicant meets the requirements stated in rule </w:t>
      </w:r>
      <w:hyperlink r:id="rId9">
        <w:r>
          <w:rPr>
            <w:rStyle w:val="Hyperlink"/>
            <w:rFonts w:ascii="Times New Roman" w:hAnsi="Times New Roman"/>
            <w:b w:val="false"/>
            <w:i w:val="false"/>
            <w:color w:val="000000"/>
            <w:sz w:val="22"/>
          </w:rPr>
          <w:t>481—895.3</w:t>
        </w:r>
      </w:hyperlink>
      <w:r>
        <w:rPr>
          <w:rFonts w:ascii="Times New Roman" w:hAnsi="Times New Roman"/>
          <w:b w:val="false"/>
          <w:i w:val="false"/>
          <w:color w:val="000000"/>
          <w:sz w:val="22"/>
        </w:rPr>
        <w:t xml:space="preserve">(154C). Upon written request of the applicant, the board may authorize a student to sit for the examination prior to the receipt of the official transcript if the student is in the last semester of an approved master of social work program. The student shall submit an application for licensure at the master level and the fee, and, in lieu of a transcript, the student shall request that the school submit a letter directly to the board office. The letter shall state that the student is currently enrolled in a master of social work program and the student’s expected date of graduation. Upon completion of degree requirements, the applicant shall have the transcript showing the date of the degree sent directly from the school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895.4(5)</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 </w:t>
      </w:r>
      <w:r>
        <w:rPr>
          <w:rFonts w:ascii="Times New Roman" w:hAnsi="Times New Roman"/>
          <w:b w:val="false"/>
          <w:i w:val="false"/>
          <w:color w:val="000000"/>
          <w:sz w:val="22"/>
        </w:rPr>
        <w:t>895.4(2)</w:t>
      </w:r>
      <w:r>
        <w:rPr>
          <w:rFonts w:ascii="Times New Roman" w:hAnsi="Times New Roman"/>
          <w:b w:val="false"/>
          <w:i w:val="false"/>
          <w:color w:val="000000"/>
          <w:sz w:val="22"/>
        </w:rPr>
        <w:t>, the board will accept the ASWB Social Work Registry verification of the ASWB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895.4(6)</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 </w:t>
      </w:r>
      <w:r>
        <w:rPr>
          <w:rFonts w:ascii="Times New Roman" w:hAnsi="Times New Roman"/>
          <w:b w:val="false"/>
          <w:i w:val="false"/>
          <w:color w:val="000000"/>
          <w:sz w:val="22"/>
        </w:rPr>
        <w:t>895.4(1)</w:t>
      </w:r>
      <w:r>
        <w:rPr>
          <w:rFonts w:ascii="Times New Roman" w:hAnsi="Times New Roman"/>
          <w:b w:val="false"/>
          <w:i w:val="false"/>
          <w:color w:val="000000"/>
          <w:sz w:val="22"/>
        </w:rPr>
        <w:t xml:space="preserve">, the board will accept verification of passing the state of California equivalent level licensing examination.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481—895.5</w:t>
      </w:r>
      <w:r>
        <w:rPr>
          <w:rFonts w:ascii="Times New Roman" w:hAnsi="Times New Roman"/>
          <w:b/>
          <w:i w:val="false"/>
          <w:color w:val="000000"/>
          <w:sz w:val="22"/>
        </w:rPr>
        <w:t xml:space="preserve">(154C)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895.5(1)</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 An applicant for a license will possess a bachelor’s degree in social work from a college or university accredited by the Council on Social Work Education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895.5(2)</w:t>
      </w:r>
      <w:r>
        <w:rPr>
          <w:rFonts w:ascii="Times New Roman" w:hAnsi="Times New Roman"/>
          <w:b w:val="false"/>
          <w:i w:val="false"/>
          <w:color w:val="000000"/>
          <w:sz w:val="22"/>
        </w:rPr>
        <w:t> </w:t>
      </w:r>
      <w:r>
        <w:rPr>
          <w:rFonts w:ascii="Times New Roman" w:hAnsi="Times New Roman"/>
          <w:b w:val="false"/>
          <w:i w:val="false"/>
          <w:color w:val="000000"/>
          <w:sz w:val="22"/>
        </w:rPr>
        <w:t>Master and independent level social worker. An applicant for a license will present evidence satisfactory to the board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Possesses a master’s degree in social work from a college or university accredited by the Council on Social Work Education at the time of graduation;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social work from a college or university approved by the board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895.5(3)</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t>
      </w:r>
      <w:hyperlink r:id="rId10">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1">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or obtain a certificate of equivalency from the Council on Social Work Education, 1701 Duke Street, Suite 200, Alexandria, Virginia 22314-3457, telephone 703.683.8080, website </w:t>
      </w:r>
      <w:hyperlink r:id="rId12">
        <w:r>
          <w:rPr>
            <w:rStyle w:val="Hyperlink"/>
            <w:rFonts w:ascii="Times New Roman" w:hAnsi="Times New Roman"/>
            <w:b w:val="false"/>
            <w:i w:val="false"/>
            <w:color w:val="000000"/>
            <w:sz w:val="22"/>
            <w:u w:val="single"/>
          </w:rPr>
          <w:t>www.cswe.org</w:t>
        </w:r>
      </w:hyperlink>
      <w:r>
        <w:rPr>
          <w:rFonts w:ascii="Times New Roman" w:hAnsi="Times New Roman"/>
          <w:b w:val="false"/>
          <w:i w:val="false"/>
          <w:color w:val="000000"/>
          <w:sz w:val="22"/>
        </w:rPr>
        <w:t>. The professional curriculum must be equivalent to that stated in these rules. The applicant shall bear the expense of the curriculum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481—895.6</w:t>
      </w:r>
      <w:r>
        <w:rPr>
          <w:rFonts w:ascii="Times New Roman" w:hAnsi="Times New Roman"/>
          <w:b/>
          <w:i w:val="false"/>
          <w:color w:val="000000"/>
          <w:sz w:val="22"/>
        </w:rPr>
        <w:t xml:space="preserve">(154C)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an independent level social worker must complete a supervised clinical experience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licensure as a master level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consists of at least 3,000 hours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consists of at least 1,500 hours of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consists of at least 110 hours of direct supervision equitably distributed throughout the supervised clinical experience, including at least 24 hours of live or recorded direct observation of client interaction.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A supervisor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years of independent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applicable ethical code and licensing rules governing the supervisee.</w:t>
      </w:r>
    </w:p>
    <w:p>
      <w:pPr>
        <w:spacing w:before="0" w:after="0"/>
        <w:ind w:left="120"/>
        <w:jc w:val="both"/>
      </w:pPr>
      <w:r>
        <w:rPr>
          <w:rFonts w:ascii="Times New Roman" w:hAnsi="Times New Roman"/>
          <w:b w:val="false"/>
          <w:i w:val="false"/>
          <w:color w:val="000000"/>
          <w:sz w:val="22"/>
        </w:rPr>
        <w:t>Any request for a supervisor who does not meet these requirements must be approved by the board before supervision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completed can be used to qualify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481—895.7</w:t>
      </w:r>
      <w:r>
        <w:rPr>
          <w:rFonts w:ascii="Times New Roman" w:hAnsi="Times New Roman"/>
          <w:b/>
          <w:i w:val="false"/>
          <w:color w:val="000000"/>
          <w:sz w:val="22"/>
        </w:rPr>
        <w:t xml:space="preserve">(154C)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social work will begin on January 1 of odd-numbered years and end on December 31 of the next even-numbered year. Every licensee will renew on a biennial basis. The licensee is responsible for renewing the license prior to its expiration. Failure of the licensee to receive notice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895.7(2)</w:t>
      </w:r>
      <w:r>
        <w:rPr>
          <w:rFonts w:ascii="Times New Roman" w:hAnsi="Times New Roman"/>
          <w:b w:val="false"/>
          <w:i w:val="false"/>
          <w:color w:val="000000"/>
          <w:sz w:val="22"/>
        </w:rPr>
        <w:t> </w:t>
      </w:r>
      <w:r>
        <w:rPr>
          <w:rFonts w:ascii="Times New Roman" w:hAnsi="Times New Roman"/>
          <w:b w:val="false"/>
          <w:i w:val="false"/>
          <w:color w:val="000000"/>
          <w:sz w:val="22"/>
        </w:rPr>
        <w:t>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481—896.2</w:t>
        </w:r>
      </w:hyperlink>
      <w:r>
        <w:rPr>
          <w:rFonts w:ascii="Times New Roman" w:hAnsi="Times New Roman"/>
          <w:b w:val="false"/>
          <w:i w:val="false"/>
          <w:color w:val="000000"/>
          <w:sz w:val="22"/>
        </w:rPr>
        <w:t xml:space="preserve">(154C) and the mandatory reporting requirements of subrule </w:t>
      </w:r>
      <w:r>
        <w:rPr>
          <w:rFonts w:ascii="Times New Roman" w:hAnsi="Times New Roman"/>
          <w:b w:val="false"/>
          <w:i w:val="false"/>
          <w:color w:val="000000"/>
          <w:sz w:val="22"/>
        </w:rPr>
        <w:t>895.7(3)</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persons licensed for the first time will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social work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receive the notice of renewal will not relieve the licensee of the responsibility for submitting the required materials and the renewal fee to the board office 30 days before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social worker whose Iowa license is delinquent, closed, retired, voluntarily surrendered, suspended, or revoked cannot advance to a higher level until the license is again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895.7(3)</w:t>
      </w:r>
      <w:r>
        <w:rPr>
          <w:rFonts w:ascii="Times New Roman" w:hAnsi="Times New Roman"/>
          <w:b w:val="false"/>
          <w:i w:val="false"/>
          <w:color w:val="000000"/>
          <w:sz w:val="22"/>
        </w:rPr>
        <w:t> </w:t>
      </w:r>
      <w:r>
        <w:rPr>
          <w:rFonts w:ascii="Times New Roman" w:hAnsi="Times New Roman"/>
          <w:b w:val="false"/>
          <w:i w:val="false"/>
          <w:color w:val="000000"/>
          <w:sz w:val="22"/>
        </w:rPr>
        <w:t>Mandatory reporting of child abuse and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will complete an initial two-hour child abuse mandatory reporter training course offered by the department of health and human services within six months of employment, or prior to the expiration of a current certificate. Thereafter, all mandatory reporters will take a one-hour recertification training every three years,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will complete an initial two-hour dependent adult abuse mandatory reporter training course offered by the department of health and human services within six months of employment, or prior to the expiration of a current certificate. Thereafter, all mandatory reporters will take a one-hour recertification training every three years,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reporter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waiver of continuing education requirements or extension of time in which to fulfill requirements due to a physical or mental disability or illness as identified in </w:t>
      </w:r>
      <w:hyperlink r:id="rId14">
        <w:r>
          <w:rPr>
            <w:rStyle w:val="Hyperlink"/>
            <w:rFonts w:ascii="Times New Roman" w:hAnsi="Times New Roman"/>
            <w:b w:val="false"/>
            <w:i w:val="false"/>
            <w:color w:val="000000"/>
            <w:sz w:val="22"/>
          </w:rPr>
          <w:t>481—Chapter 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895.7(3)</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895.7(4)</w:t>
      </w:r>
      <w:r>
        <w:rPr>
          <w:rFonts w:ascii="Times New Roman" w:hAnsi="Times New Roman"/>
          <w:b w:val="false"/>
          <w:i w:val="false"/>
          <w:color w:val="000000"/>
          <w:sz w:val="22"/>
        </w:rPr>
        <w:t> </w:t>
      </w:r>
      <w:r>
        <w:rPr>
          <w:rFonts w:ascii="Times New Roman" w:hAnsi="Times New Roman"/>
          <w:b w:val="false"/>
          <w:i w:val="false"/>
          <w:color w:val="000000"/>
          <w:sz w:val="22"/>
        </w:rPr>
        <w:t>Late renewal.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895.7(5)</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social worker in Iowa until the license is reactivated. A licensee who practices as a social worker in the state of Iowa with an inactive license may be subject to disciplinary action by the board, injunctive action pursuant to Iowa Code section </w:t>
      </w:r>
      <w:hyperlink r:id="rId15">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6">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17">
        <w:r>
          <w:rPr>
            <w:rStyle w:val="Hyperlink"/>
            <w:rFonts w:ascii="Times New Roman" w:hAnsi="Times New Roman"/>
            <w:b w:val="false"/>
            <w:i w:val="false"/>
            <w:color w:val="000000"/>
            <w:sz w:val="22"/>
          </w:rPr>
          <w:t>481—subrule 507.19(4)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social work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an applicant will provide the verifications in both subparagraphs </w:t>
      </w:r>
      <w:r>
        <w:rPr>
          <w:rFonts w:ascii="Times New Roman" w:hAnsi="Times New Roman"/>
          <w:b w:val="false"/>
          <w:i w:val="false"/>
          <w:color w:val="000000"/>
          <w:sz w:val="22"/>
        </w:rPr>
        <w:t>895.8(3)</w:t>
      </w:r>
      <w:r>
        <w:rPr>
          <w:rFonts w:ascii="Times New Roman" w:hAnsi="Times New Roman"/>
          <w:b w:val="false"/>
          <w:i/>
          <w:color w:val="000000"/>
          <w:sz w:val="22"/>
        </w:rPr>
        <w:t>“b”</w:t>
      </w:r>
      <w:r>
        <w:rPr>
          <w:rFonts w:ascii="Times New Roman" w:hAnsi="Times New Roman"/>
          <w:b w:val="false"/>
          <w:i w:val="false"/>
          <w:color w:val="000000"/>
          <w:sz w:val="22"/>
        </w:rPr>
        <w:t xml:space="preserve">(1) and (2) below plus the verification in subparagraph </w:t>
      </w:r>
      <w:r>
        <w:rPr>
          <w:rFonts w:ascii="Times New Roman" w:hAnsi="Times New Roman"/>
          <w:b w:val="false"/>
          <w:i w:val="false"/>
          <w:color w:val="000000"/>
          <w:sz w:val="22"/>
        </w:rPr>
        <w:t>895.8(3)</w:t>
      </w:r>
      <w:r>
        <w:rPr>
          <w:rFonts w:ascii="Times New Roman" w:hAnsi="Times New Roman"/>
          <w:b w:val="false"/>
          <w:i/>
          <w:color w:val="000000"/>
          <w:sz w:val="22"/>
        </w:rPr>
        <w:t>“b”</w:t>
      </w:r>
      <w:r>
        <w:rPr>
          <w:rFonts w:ascii="Times New Roman" w:hAnsi="Times New Roman"/>
          <w:b w:val="false"/>
          <w:i w:val="false"/>
          <w:color w:val="000000"/>
          <w:sz w:val="22"/>
        </w:rPr>
        <w:t>(3) or (4)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ASWB examination within the last five years at the appropriate or higher level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worker—the bachelor’s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Master level social worker—the master’s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Independent level social worker—the clinical level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continued social work practice at the appropriate or higher level in another state for a minimum of two years immediately preceding the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481—895.9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9">
        <w:r>
          <w:rPr>
            <w:rStyle w:val="Hyperlink"/>
            <w:rFonts w:ascii="Times New Roman" w:hAnsi="Times New Roman"/>
            <w:b w:val="false"/>
            <w:i w:val="false"/>
            <w:color w:val="000000"/>
            <w:sz w:val="22"/>
          </w:rPr>
          <w:t>481—895.8</w:t>
        </w:r>
      </w:hyperlink>
      <w:r>
        <w:rPr>
          <w:rFonts w:ascii="Times New Roman" w:hAnsi="Times New Roman"/>
          <w:b w:val="false"/>
          <w:i w:val="false"/>
          <w:color w:val="000000"/>
          <w:sz w:val="22"/>
        </w:rPr>
        <w:t>(17A,147,272C) prior to practicing social work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7/12/85, Notice 5/8/85—published 7/31/85, effective 9/4/85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2/7/86—published 2/26/86, effective 2/7/86]</w:t>
      </w:r>
    </w:p>
    <w:p>
      <w:pPr>
        <w:spacing w:before="0" w:after="0"/>
        <w:ind w:left="120"/>
        <w:jc w:val="center"/>
      </w:pPr>
      <w:r>
        <w:rPr>
          <w:rFonts w:ascii="Times New Roman" w:hAnsi="Times New Roman"/>
          <w:b w:val="false"/>
          <w:i w:val="false"/>
          <w:color w:val="000000"/>
          <w:sz w:val="21"/>
        </w:rPr>
        <w:t>[Filed 8/7/86, Notice 6/18/86—published 8/27/86, effective 10/1/86]</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9/28/90, Notice 8/8/90—published 10/17/90, effective 11/21/90]</w:t>
      </w:r>
    </w:p>
    <w:p>
      <w:pPr>
        <w:spacing w:before="0" w:after="0"/>
        <w:ind w:left="120"/>
        <w:jc w:val="center"/>
      </w:pPr>
      <w:r>
        <w:rPr>
          <w:rFonts w:ascii="Times New Roman" w:hAnsi="Times New Roman"/>
          <w:b w:val="false"/>
          <w:i w:val="false"/>
          <w:color w:val="000000"/>
          <w:sz w:val="21"/>
        </w:rPr>
        <w:t>[Filed 8/26/92, Notice 2/19/92—published 9/16/92, effective 10/21/92</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1/13/95, Notice 10/26/94—published 2/1/95, effective 3/8/95]</w:t>
      </w:r>
    </w:p>
    <w:p>
      <w:pPr>
        <w:spacing w:before="0" w:after="0"/>
        <w:ind w:left="120"/>
        <w:jc w:val="center"/>
      </w:pPr>
      <w:r>
        <w:rPr>
          <w:rFonts w:ascii="Times New Roman" w:hAnsi="Times New Roman"/>
          <w:b w:val="false"/>
          <w:i w:val="false"/>
          <w:color w:val="000000"/>
          <w:sz w:val="21"/>
        </w:rPr>
        <w:t>[Filed 7/14/95, Notice 3/15/95—published 8/2/95, effective 9/6/95]</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7/24/98, Notice 5/6/98—published 8/12/98, effective 9/16/98]</w:t>
      </w:r>
    </w:p>
    <w:p>
      <w:pPr>
        <w:spacing w:before="0" w:after="0"/>
        <w:ind w:left="120"/>
        <w:jc w:val="center"/>
      </w:pPr>
      <w:r>
        <w:rPr>
          <w:rFonts w:ascii="Times New Roman" w:hAnsi="Times New Roman"/>
          <w:b w:val="false"/>
          <w:i w:val="false"/>
          <w:color w:val="000000"/>
          <w:sz w:val="21"/>
        </w:rPr>
        <w:t>[Filed 5/28/99, Notice 3/24/99—published 6/16/99, effective 7/21/99</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12/22/00, Notice 9/6/00—published 1/10/01, effective 2/14/01]</w:t>
      </w:r>
    </w:p>
    <w:p>
      <w:pPr>
        <w:spacing w:before="0" w:after="0"/>
        <w:ind w:left="120"/>
        <w:jc w:val="center"/>
      </w:pPr>
      <w:r>
        <w:rPr>
          <w:rFonts w:ascii="Times New Roman" w:hAnsi="Times New Roman"/>
          <w:b w:val="false"/>
          <w:i w:val="false"/>
          <w:color w:val="000000"/>
          <w:sz w:val="21"/>
        </w:rPr>
        <w:t>[Filed 8/30/01, Notice 6/13/01—published 9/19/01, effective 10/24/01]</w:t>
      </w:r>
    </w:p>
    <w:p>
      <w:pPr>
        <w:spacing w:before="0" w:after="0"/>
        <w:ind w:left="120"/>
        <w:jc w:val="center"/>
      </w:pPr>
      <w:r>
        <w:rPr>
          <w:rFonts w:ascii="Times New Roman" w:hAnsi="Times New Roman"/>
          <w:b w:val="false"/>
          <w:i w:val="false"/>
          <w:color w:val="000000"/>
          <w:sz w:val="21"/>
        </w:rPr>
        <w:t>[Filed 5/22/02, Notice 3/6/02—published 6/12/02, effective 7/17/02]</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8/14/03, Notice 6/11/03—published 9/3/03, effective 10/8/03]</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11/8/04, Notice 9/1/04—published 12/8/04, effective 1/12/05]</w:t>
      </w:r>
    </w:p>
    <w:p>
      <w:pPr>
        <w:spacing w:before="0" w:after="0"/>
        <w:ind w:left="120"/>
        <w:jc w:val="center"/>
      </w:pPr>
      <w:r>
        <w:rPr>
          <w:rFonts w:ascii="Times New Roman" w:hAnsi="Times New Roman"/>
          <w:b w:val="false"/>
          <w:i w:val="false"/>
          <w:color w:val="000000"/>
          <w:sz w:val="21"/>
        </w:rPr>
        <w:t>[Filed 8/9/05,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2/14/06, Notice 1/4/06—published 3/15/06, effective 4/19/06]</w:t>
      </w:r>
    </w:p>
    <w:p>
      <w:pPr>
        <w:spacing w:before="0" w:after="0"/>
        <w:ind w:left="120"/>
        <w:jc w:val="center"/>
      </w:pPr>
      <w:r>
        <w:rPr>
          <w:rFonts w:ascii="Times New Roman" w:hAnsi="Times New Roman"/>
          <w:b w:val="false"/>
          <w:i w:val="false"/>
          <w:color w:val="000000"/>
          <w:sz w:val="21"/>
        </w:rPr>
        <w:t>[Filed ARC 8371B</w:t>
      </w:r>
      <w:r>
        <w:rPr>
          <w:rFonts w:ascii="Times New Roman" w:hAnsi="Times New Roman"/>
          <w:b w:val="false"/>
          <w:i w:val="false"/>
          <w:color w:val="000000"/>
          <w:sz w:val="21"/>
        </w:rPr>
        <w:t xml:space="preserve"> (Notice ARC 8101B,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8586B</w:t>
      </w:r>
      <w:r>
        <w:rPr>
          <w:rFonts w:ascii="Times New Roman" w:hAnsi="Times New Roman"/>
          <w:b w:val="false"/>
          <w:i w:val="false"/>
          <w:color w:val="000000"/>
          <w:sz w:val="21"/>
        </w:rPr>
        <w:t xml:space="preserve"> (Notice ARC 8374B, IAB 12/16/09)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8587B</w:t>
      </w:r>
      <w:r>
        <w:rPr>
          <w:rFonts w:ascii="Times New Roman" w:hAnsi="Times New Roman"/>
          <w:b w:val="false"/>
          <w:i w:val="false"/>
          <w:color w:val="000000"/>
          <w:sz w:val="21"/>
        </w:rPr>
        <w:t xml:space="preserve"> (Notice ARC 8368B,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9934B</w:t>
      </w:r>
      <w:r>
        <w:rPr>
          <w:rFonts w:ascii="Times New Roman" w:hAnsi="Times New Roman"/>
          <w:b w:val="false"/>
          <w:i w:val="false"/>
          <w:color w:val="000000"/>
          <w:sz w:val="21"/>
        </w:rPr>
        <w:t xml:space="preserve"> (Notice ARC 9750B,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0093C</w:t>
      </w:r>
      <w:r>
        <w:rPr>
          <w:rFonts w:ascii="Times New Roman" w:hAnsi="Times New Roman"/>
          <w:b w:val="false"/>
          <w:i w:val="false"/>
          <w:color w:val="000000"/>
          <w:sz w:val="21"/>
        </w:rPr>
        <w:t xml:space="preserve"> (Notice ARC 9946B, IAB 12/28/11)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4981C</w:t>
      </w:r>
      <w:r>
        <w:rPr>
          <w:rFonts w:ascii="Times New Roman" w:hAnsi="Times New Roman"/>
          <w:b w:val="false"/>
          <w:i w:val="false"/>
          <w:color w:val="000000"/>
          <w:sz w:val="21"/>
        </w:rPr>
        <w:t xml:space="preserve"> (Notice ARC 4727C, IAB 10/23/19)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5771C</w:t>
      </w:r>
      <w:r>
        <w:rPr>
          <w:rFonts w:ascii="Times New Roman" w:hAnsi="Times New Roman"/>
          <w:b w:val="false"/>
          <w:i w:val="false"/>
          <w:color w:val="000000"/>
          <w:sz w:val="21"/>
        </w:rPr>
        <w:t xml:space="preserve"> (Notice ARC 5447C,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Emergency ARC 5795C, IAB 7/28/21, effective 6/30/21]</w:t>
      </w:r>
    </w:p>
    <w:p>
      <w:pPr>
        <w:spacing w:before="0" w:after="0"/>
        <w:ind w:left="120"/>
        <w:jc w:val="center"/>
      </w:pPr>
      <w:r>
        <w:rPr>
          <w:rFonts w:ascii="Times New Roman" w:hAnsi="Times New Roman"/>
          <w:b w:val="false"/>
          <w:i w:val="false"/>
          <w:color w:val="000000"/>
          <w:sz w:val="21"/>
        </w:rPr>
        <w:t>[Filed ARC 6131C</w:t>
      </w:r>
      <w:r>
        <w:rPr>
          <w:rFonts w:ascii="Times New Roman" w:hAnsi="Times New Roman"/>
          <w:b w:val="false"/>
          <w:i w:val="false"/>
          <w:color w:val="000000"/>
          <w:sz w:val="21"/>
        </w:rPr>
        <w:t xml:space="preserve"> (Notice ARC 5794C, IAB 7/28/21)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6357C</w:t>
      </w:r>
      <w:r>
        <w:rPr>
          <w:rFonts w:ascii="Times New Roman" w:hAnsi="Times New Roman"/>
          <w:b w:val="false"/>
          <w:i w:val="false"/>
          <w:color w:val="000000"/>
          <w:sz w:val="21"/>
        </w:rPr>
        <w:t xml:space="preserve"> (Notice ARC 6142C, IAB 1/12/22)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6996C</w:t>
      </w:r>
      <w:r>
        <w:rPr>
          <w:rFonts w:ascii="Times New Roman" w:hAnsi="Times New Roman"/>
          <w:b w:val="false"/>
          <w:i w:val="false"/>
          <w:color w:val="000000"/>
          <w:sz w:val="21"/>
        </w:rPr>
        <w:t xml:space="preserve"> (Notice ARC 6652C,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8057C</w:t>
      </w:r>
      <w:r>
        <w:rPr>
          <w:rFonts w:ascii="Times New Roman" w:hAnsi="Times New Roman"/>
          <w:b w:val="false"/>
          <w:i w:val="false"/>
          <w:color w:val="000000"/>
          <w:sz w:val="21"/>
        </w:rPr>
        <w:t xml:space="preserve"> (Notice ARC 7639C, IAB 2/21/24)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rules 161.212 to 161.217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280.100(154C) is July 1, 1993.</w:t>
      </w:r>
    </w:p>
    <w:p>
      <w:pPr>
        <w:pBdr>
          <w:bottom w:space="2"/>
        </w:pBdr>
        <w:spacing w:before="0" w:after="0"/>
        <w:ind w:left="120"/>
        <w:jc w:val="both"/>
      </w:pPr>
      <w:r>
        <w:rPr>
          <w:rFonts w:ascii="Times New Roman" w:hAnsi="Times New Roman"/>
          <w:b w:val="false"/>
          <w:i w:val="false"/>
          <w:color w:val="000000"/>
          <w:sz w:val="22"/>
        </w:rPr>
        <w:t xml:space="preserve">Effective date of </w:t>
      </w:r>
      <w:r>
        <w:rPr>
          <w:rFonts w:ascii="Times New Roman" w:hAnsi="Times New Roman"/>
          <w:b/>
          <w:i w:val="false"/>
          <w:color w:val="000000"/>
          <w:sz w:val="22"/>
        </w:rPr>
        <w:t>ARC 9102A</w:t>
      </w:r>
      <w:r>
        <w:rPr>
          <w:rFonts w:ascii="Times New Roman" w:hAnsi="Times New Roman"/>
          <w:b w:val="false"/>
          <w:i w:val="false"/>
          <w:color w:val="000000"/>
          <w:sz w:val="22"/>
        </w:rPr>
        <w:t xml:space="preserve"> delayed 70 days by the Administrative Rules Review Committee at its meeting held July 13, 1999; delay lifted at the meeting held August 3, 1999, effective August 4, 1999.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ac/rule/481.895.8.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9.pdf" Type="http://schemas.openxmlformats.org/officeDocument/2006/relationships/hyperlink" Id="rId7"/>
    <Relationship TargetMode="External" Target="https://www.legis.iowa.gov/docs/iac/rule/481.895.4.pdf" Type="http://schemas.openxmlformats.org/officeDocument/2006/relationships/hyperlink" Id="rId8"/>
    <Relationship TargetMode="External" Target="https://www.legis.iowa.gov/docs/iac/rule/481.895.3.pdf" Type="http://schemas.openxmlformats.org/officeDocument/2006/relationships/hyperlink" Id="rId9"/>
    <Relationship TargetMode="External" Target="http://www.ierf.org" Type="http://schemas.openxmlformats.org/officeDocument/2006/relationships/hyperlink" Id="rId10"/>
    <Relationship TargetMode="External" Target="mailto:info@ierf.org" Type="http://schemas.openxmlformats.org/officeDocument/2006/relationships/hyperlink" Id="rId11"/>
    <Relationship TargetMode="External" Target="http://www.cswe.org" Type="http://schemas.openxmlformats.org/officeDocument/2006/relationships/hyperlink" Id="rId12"/>
    <Relationship TargetMode="External" Target="https://www.legis.iowa.gov/docs/iac/rule/481.896.2.pdf" Type="http://schemas.openxmlformats.org/officeDocument/2006/relationships/hyperlink" Id="rId13"/>
    <Relationship TargetMode="External" Target="https://www.legis.iowa.gov/docs/iac/chapter/481.895.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ac/rule/481.507.19.pdf" Type="http://schemas.openxmlformats.org/officeDocument/2006/relationships/hyperlink" Id="rId17"/>
    <Relationship TargetMode="External" Target="https://www.legis.iowa.gov/docs/iac/rule/481.506.31.pdf" Type="http://schemas.openxmlformats.org/officeDocument/2006/relationships/hyperlink" Id="rId18"/>
    <Relationship TargetMode="External" Target="https://www.legis.iowa.gov/docs/iac/rule/481.895.8.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47.pdf" Type="http://schemas.openxmlformats.org/officeDocument/2006/relationships/hyperlink" Id="rId21"/>
    <Relationship TargetMode="External" Target="https://www.legis.iowa.gov/docs/ico/chapter/154C.pdf" Type="http://schemas.openxmlformats.org/officeDocument/2006/relationships/hyperlink" Id="rId22"/>
    <Relationship TargetMode="External" Target="https://www.legis.iowa.gov/docs/ico/chapter/272C.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