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892</w:t>
      </w:r>
    </w:p>
    <w:p>
      <w:pPr>
        <w:spacing w:before="0" w:after="0"/>
        <w:ind w:left="120"/>
        <w:jc w:val="center"/>
      </w:pPr>
      <w:r>
        <w:rPr>
          <w:rFonts w:ascii="Times New Roman" w:hAnsi="Times New Roman"/>
          <w:b w:val="false"/>
          <w:i w:val="false"/>
          <w:color w:val="000000"/>
          <w:sz w:val="21"/>
        </w:rPr>
        <w:t xml:space="preserve">CONTINUING EDUCATION FOR MARITAL AND </w:t>
      </w:r>
      <w:r>
        <w:br/>
      </w:r>
      <w:r>
        <w:rPr>
          <w:rFonts w:ascii="Times New Roman" w:hAnsi="Times New Roman"/>
          <w:b w:val="false"/>
          <w:i w:val="false"/>
          <w:color w:val="000000"/>
          <w:sz w:val="21"/>
        </w:rPr>
        <w:t>FAMILY THERAPISTS AND MENTAL HEALTH COUNSELORS</w:t>
      </w:r>
    </w:p>
    <w:p>
      <w:pPr>
        <w:spacing w:before="0" w:after="0"/>
        <w:ind w:left="120"/>
        <w:jc w:val="center"/>
      </w:pPr>
      <w:r>
        <w:rPr>
          <w:rFonts w:ascii="Times New Roman" w:hAnsi="Times New Roman"/>
          <w:b w:val="false"/>
          <w:i w:val="false"/>
          <w:color w:val="000000"/>
          <w:sz w:val="14"/>
        </w:rPr>
        <w:t>[Prior to 9/18/24, see Professional Licensure Division[645] Ch 32]</w:t>
      </w:r>
    </w:p>
    <w:p>
      <w:pPr>
        <w:spacing w:before="0" w:after="0"/>
        <w:ind w:left="120"/>
        <w:jc w:val="both"/>
      </w:pPr>
      <w:r>
        <w:rPr>
          <w:rFonts w:ascii="Times New Roman" w:hAnsi="Times New Roman"/>
          <w:b/>
          <w:i w:val="false"/>
          <w:color w:val="000000"/>
          <w:sz w:val="22"/>
        </w:rPr>
        <w:t>481—892.1</w:t>
      </w:r>
      <w:r>
        <w:rPr>
          <w:rFonts w:ascii="Times New Roman" w:hAnsi="Times New Roman"/>
          <w:b/>
          <w:i w:val="false"/>
          <w:color w:val="000000"/>
          <w:sz w:val="22"/>
        </w:rPr>
        <w:t xml:space="preserve">(272C)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the purpose of these rules, the following definitions will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“Active license” </w:t>
      </w:r>
      <w:r>
        <w:rPr>
          <w:rFonts w:ascii="Times New Roman" w:hAnsi="Times New Roman"/>
          <w:b w:val="false"/>
          <w:i w:val="false"/>
          <w:color w:val="000000"/>
          <w:sz w:val="22"/>
        </w:rPr>
        <w:t>means the license is current and has not expired.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“Approved program/activity” </w:t>
      </w:r>
      <w:r>
        <w:rPr>
          <w:rFonts w:ascii="Times New Roman" w:hAnsi="Times New Roman"/>
          <w:b w:val="false"/>
          <w:i w:val="false"/>
          <w:color w:val="000000"/>
          <w:sz w:val="22"/>
        </w:rPr>
        <w:t>means a continuing education program/activity meeting the standards set forth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“Audit” </w:t>
      </w:r>
      <w:r>
        <w:rPr>
          <w:rFonts w:ascii="Times New Roman" w:hAnsi="Times New Roman"/>
          <w:b w:val="false"/>
          <w:i w:val="false"/>
          <w:color w:val="000000"/>
          <w:sz w:val="22"/>
        </w:rPr>
        <w:t>means the selection of licensees for verification of satisfactory completion of continuing education requirements during a specified time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means the board of behavioral science.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“Continuing education” </w:t>
      </w:r>
      <w:r>
        <w:rPr>
          <w:rFonts w:ascii="Times New Roman" w:hAnsi="Times New Roman"/>
          <w:b w:val="false"/>
          <w:i w:val="false"/>
          <w:color w:val="000000"/>
          <w:sz w:val="22"/>
        </w:rPr>
        <w:t>means planned, organized learning acts designed to maintain, improve, or expand a licensee’s knowledge and skills in order for the licensee to develop new knowledge and skills relevant to the enhancement of practice, education, or theory development to improve the safety and welfare of the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“Hour of continuing education” </w:t>
      </w:r>
      <w:r>
        <w:rPr>
          <w:rFonts w:ascii="Times New Roman" w:hAnsi="Times New Roman"/>
          <w:b w:val="false"/>
          <w:i w:val="false"/>
          <w:color w:val="000000"/>
          <w:sz w:val="22"/>
        </w:rPr>
        <w:t>means at least 50 minutes spent by a licensee in actual attendance at and completion of approved continuing education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“Inactive license” </w:t>
      </w:r>
      <w:r>
        <w:rPr>
          <w:rFonts w:ascii="Times New Roman" w:hAnsi="Times New Roman"/>
          <w:b w:val="false"/>
          <w:i w:val="false"/>
          <w:color w:val="000000"/>
          <w:sz w:val="22"/>
        </w:rPr>
        <w:t>means a license that has expired because it was not renewed by the end of the grace period. The category of “inactive license” may include licenses formerly known as lapsed, inactive, delinquent, closed, or retired.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“Independent study” </w:t>
      </w:r>
      <w:r>
        <w:rPr>
          <w:rFonts w:ascii="Times New Roman" w:hAnsi="Times New Roman"/>
          <w:b w:val="false"/>
          <w:i w:val="false"/>
          <w:color w:val="000000"/>
          <w:sz w:val="22"/>
        </w:rPr>
        <w:t xml:space="preserve">means a continuing education program or activity that a licensee pursues autonomously that includes a posttest and meets the general criteria in subrule </w:t>
      </w:r>
      <w:r>
        <w:rPr>
          <w:rFonts w:ascii="Times New Roman" w:hAnsi="Times New Roman"/>
          <w:b w:val="false"/>
          <w:i w:val="false"/>
          <w:color w:val="000000"/>
          <w:sz w:val="22"/>
        </w:rPr>
        <w:t>892.3(1)</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 </w:t>
      </w:r>
      <w:r>
        <w:rPr>
          <w:rFonts w:ascii="Times New Roman" w:hAnsi="Times New Roman"/>
          <w:b w:val="false"/>
          <w:i w:val="false"/>
          <w:color w:val="000000"/>
          <w:sz w:val="22"/>
        </w:rPr>
        <w:t>means license to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“Licensee” </w:t>
      </w:r>
      <w:r>
        <w:rPr>
          <w:rFonts w:ascii="Times New Roman" w:hAnsi="Times New Roman"/>
          <w:b w:val="false"/>
          <w:i w:val="false"/>
          <w:color w:val="000000"/>
          <w:sz w:val="22"/>
        </w:rPr>
        <w:t>means any person licensed to practice marital and family therapy or mental health counseling in the state of Iowa.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7918C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481—892.2</w:t>
      </w:r>
      <w:r>
        <w:rPr>
          <w:rFonts w:ascii="Times New Roman" w:hAnsi="Times New Roman"/>
          <w:b/>
          <w:i w:val="false"/>
          <w:color w:val="000000"/>
          <w:sz w:val="22"/>
        </w:rPr>
        <w:t xml:space="preserve">(272C) </w:t>
      </w:r>
      <w:r>
        <w:rPr>
          <w:rFonts w:ascii="Times New Roman" w:hAnsi="Times New Roman"/>
          <w:b/>
          <w:i w:val="false"/>
          <w:color w:val="000000"/>
          <w:sz w:val="22"/>
        </w:rPr>
        <w:t xml:space="preserve">Continuing education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892.2(1)</w:t>
      </w:r>
      <w:r>
        <w:rPr>
          <w:rFonts w:ascii="Times New Roman" w:hAnsi="Times New Roman"/>
          <w:b w:val="false"/>
          <w:i w:val="false"/>
          <w:color w:val="000000"/>
          <w:sz w:val="22"/>
        </w:rPr>
        <w:t> </w:t>
      </w:r>
      <w:r>
        <w:rPr>
          <w:rFonts w:ascii="Times New Roman" w:hAnsi="Times New Roman"/>
          <w:b w:val="false"/>
          <w:i w:val="false"/>
          <w:color w:val="000000"/>
          <w:sz w:val="22"/>
        </w:rPr>
        <w:t>The biennial continuing education compliance period shall extend for a 25-month period beginning on September 1 of the even-numbered year and ending on September 30 of the next even-numbered year. Each biennium, each person who is licensed to practice as a licensee in this state is required to complete a minimum of 40 hours of continuing education that meets the requirements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892.2(2)</w:t>
      </w:r>
      <w:r>
        <w:rPr>
          <w:rFonts w:ascii="Times New Roman" w:hAnsi="Times New Roman"/>
          <w:b w:val="false"/>
          <w:i w:val="false"/>
          <w:color w:val="000000"/>
          <w:sz w:val="22"/>
        </w:rPr>
        <w:t> </w:t>
      </w:r>
      <w:r>
        <w:rPr>
          <w:rFonts w:ascii="Times New Roman" w:hAnsi="Times New Roman"/>
          <w:b w:val="false"/>
          <w:i w:val="false"/>
          <w:color w:val="000000"/>
          <w:sz w:val="22"/>
        </w:rPr>
        <w:t>Requirements of new licensees. Those persons licensed for the first time shall not be required to complete continuing education as a prerequisite for the first renewal of their licenses. Continuing education hours acquired any time from the initial licensing until the second license renewal may be used. The new licensee will be required to complete a minimum of 40 hours of continuing education per biennium for each subsequent license renewal.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892.2(3)</w:t>
      </w:r>
      <w:r>
        <w:rPr>
          <w:rFonts w:ascii="Times New Roman" w:hAnsi="Times New Roman"/>
          <w:b w:val="false"/>
          <w:i w:val="false"/>
          <w:color w:val="000000"/>
          <w:sz w:val="22"/>
        </w:rPr>
        <w:t> </w:t>
      </w:r>
      <w:r>
        <w:rPr>
          <w:rFonts w:ascii="Times New Roman" w:hAnsi="Times New Roman"/>
          <w:b w:val="false"/>
          <w:i w:val="false"/>
          <w:color w:val="000000"/>
          <w:sz w:val="22"/>
        </w:rPr>
        <w:t>Hours of continuing education credit may be obtained by attending and participating in a continuing education activity. These hours must be in accordance with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892.2(4)</w:t>
      </w:r>
      <w:r>
        <w:rPr>
          <w:rFonts w:ascii="Times New Roman" w:hAnsi="Times New Roman"/>
          <w:b w:val="false"/>
          <w:i w:val="false"/>
          <w:color w:val="000000"/>
          <w:sz w:val="22"/>
        </w:rPr>
        <w:t> </w:t>
      </w:r>
      <w:r>
        <w:rPr>
          <w:rFonts w:ascii="Times New Roman" w:hAnsi="Times New Roman"/>
          <w:b w:val="false"/>
          <w:i w:val="false"/>
          <w:color w:val="000000"/>
          <w:sz w:val="22"/>
        </w:rPr>
        <w:t>No hours of continuing education will be carried over into the next biennium except as stated for the second renewal. A licensee whose license was reactivated during the current renewal compliance period may use continuing education earned during the compliance period for the first renewal following reactivation.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892.2(5)</w:t>
      </w:r>
      <w:r>
        <w:rPr>
          <w:rFonts w:ascii="Times New Roman" w:hAnsi="Times New Roman"/>
          <w:b w:val="false"/>
          <w:i w:val="false"/>
          <w:color w:val="000000"/>
          <w:sz w:val="22"/>
        </w:rPr>
        <w:t> </w:t>
      </w:r>
      <w:r>
        <w:rPr>
          <w:rFonts w:ascii="Times New Roman" w:hAnsi="Times New Roman"/>
          <w:b w:val="false"/>
          <w:i w:val="false"/>
          <w:color w:val="000000"/>
          <w:sz w:val="22"/>
        </w:rPr>
        <w:t>It is the responsibility of each licensee to finance the cost of continuing education.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7918C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481—892.3</w:t>
      </w:r>
      <w:r>
        <w:rPr>
          <w:rFonts w:ascii="Times New Roman" w:hAnsi="Times New Roman"/>
          <w:b/>
          <w:i w:val="false"/>
          <w:color w:val="000000"/>
          <w:sz w:val="22"/>
        </w:rPr>
        <w:t xml:space="preserve">(154D,272C) </w:t>
      </w:r>
      <w:r>
        <w:rPr>
          <w:rFonts w:ascii="Times New Roman" w:hAnsi="Times New Roman"/>
          <w:b/>
          <w:i w:val="false"/>
          <w:color w:val="000000"/>
          <w:sz w:val="22"/>
        </w:rPr>
        <w:t xml:space="preserve">Standards.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892.3(1)</w:t>
      </w:r>
      <w:r>
        <w:rPr>
          <w:rFonts w:ascii="Times New Roman" w:hAnsi="Times New Roman"/>
          <w:b w:val="false"/>
          <w:i w:val="false"/>
          <w:color w:val="000000"/>
          <w:sz w:val="22"/>
        </w:rPr>
        <w:t> </w:t>
      </w:r>
      <w:r>
        <w:rPr>
          <w:rFonts w:ascii="Times New Roman" w:hAnsi="Times New Roman"/>
          <w:b w:val="false"/>
          <w:i/>
          <w:color w:val="000000"/>
          <w:sz w:val="22"/>
        </w:rPr>
        <w:t xml:space="preserve">General criteria. </w:t>
      </w:r>
      <w:r>
        <w:rPr>
          <w:rFonts w:ascii="Times New Roman" w:hAnsi="Times New Roman"/>
          <w:b w:val="false"/>
          <w:i w:val="false"/>
          <w:color w:val="000000"/>
          <w:sz w:val="22"/>
        </w:rPr>
        <w:t>A continuing education activity which meets all of the following criteria is appropriate for continuing education credit if the continuing education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Constitutes an organized program of learning which contributes directly to the professional competency of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Pertains to subject matters which integrally relate to the practice of the profession;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Is conducted by individuals who have specialized education, training and experience by reason of which said individuals should be considered qualified concerning the subject matter of the program. At the time of audit, the board may request the qualifications of presenters.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Fulfills stated program goals, objectives, or both;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Provides proof of attendance to licensees in attendance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Date(s), location, course title, presenter(s);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Number of program contact hours;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Certificate of completion or evidence of successful completion of the course provided by the course sponsor.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892.3(2)</w:t>
      </w:r>
      <w:r>
        <w:rPr>
          <w:rFonts w:ascii="Times New Roman" w:hAnsi="Times New Roman"/>
          <w:b w:val="false"/>
          <w:i w:val="false"/>
          <w:color w:val="000000"/>
          <w:sz w:val="22"/>
        </w:rPr>
        <w:t> </w:t>
      </w:r>
      <w:r>
        <w:rPr>
          <w:rFonts w:ascii="Times New Roman" w:hAnsi="Times New Roman"/>
          <w:b w:val="false"/>
          <w:i/>
          <w:color w:val="000000"/>
          <w:sz w:val="22"/>
        </w:rPr>
        <w:t xml:space="preserve">Specific criteria. </w:t>
      </w:r>
      <w:r>
        <w:rPr>
          <w:rFonts w:ascii="Times New Roman" w:hAnsi="Times New Roman"/>
          <w:b w:val="false"/>
          <w:i w:val="false"/>
          <w:color w:val="000000"/>
          <w:sz w:val="22"/>
        </w:rPr>
        <w:t>Continuing education hours of credit may be obtained by completing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Attendance at workshops, conferences, symposiums and webinars.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Academic courses. Official transcripts indicating successful completion of academic courses which apply to the field of mental health counseling or marital and family therapy, as appropriate, will be necessary in order to receive the following continuing education credits:</w:t>
      </w:r>
    </w:p>
    <w:p>
      <w:pPr>
        <w:spacing w:before="0" w:after="0"/>
        <w:ind w:left="120"/>
        <w:jc w:val="both"/>
      </w:pPr>
      <w:r>
        <w:rPr>
          <w:rFonts w:ascii="Times New Roman" w:hAnsi="Times New Roman"/>
          <w:b w:val="false"/>
          <w:i w:val="false"/>
          <w:color w:val="000000"/>
          <w:sz w:val="22"/>
        </w:rPr>
        <w:t>1 academic semester hour = 15 continuing education hours</w:t>
      </w:r>
    </w:p>
    <w:p>
      <w:pPr>
        <w:spacing w:before="0" w:after="0"/>
        <w:ind w:left="120"/>
        <w:jc w:val="both"/>
      </w:pPr>
      <w:r>
        <w:rPr>
          <w:rFonts w:ascii="Times New Roman" w:hAnsi="Times New Roman"/>
          <w:b w:val="false"/>
          <w:i w:val="false"/>
          <w:color w:val="000000"/>
          <w:sz w:val="22"/>
        </w:rPr>
        <w:t>1 academic quarter hour = 10 continuing education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Completion of independent study courses that meet the general criteria in subrule </w:t>
      </w:r>
      <w:r>
        <w:rPr>
          <w:rFonts w:ascii="Times New Roman" w:hAnsi="Times New Roman"/>
          <w:b w:val="false"/>
          <w:i w:val="false"/>
          <w:color w:val="000000"/>
          <w:sz w:val="22"/>
        </w:rPr>
        <w:t>892.3(1)</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maximum of 20 hours of continuing education credit may be granted for any of the following activities not to exceed a combined total of 20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Presenting professional programs which meet the criteria in rule </w:t>
      </w:r>
      <w:hyperlink r:id="rId4">
        <w:r>
          <w:rPr>
            <w:rStyle w:val="Hyperlink"/>
            <w:rFonts w:ascii="Times New Roman" w:hAnsi="Times New Roman"/>
            <w:b w:val="false"/>
            <w:i w:val="false"/>
            <w:color w:val="000000"/>
            <w:sz w:val="22"/>
          </w:rPr>
          <w:t>481—892.3</w:t>
        </w:r>
      </w:hyperlink>
      <w:r>
        <w:rPr>
          <w:rFonts w:ascii="Times New Roman" w:hAnsi="Times New Roman"/>
          <w:b w:val="false"/>
          <w:i w:val="false"/>
          <w:color w:val="000000"/>
          <w:sz w:val="22"/>
        </w:rPr>
        <w:t>(272C). Two hours of credit will be awarded for each hour of presentation. A course schedule or brochure must be maintained for audit. Presentation at a professional program does not include teaching a class at an institution of higher learning at which the applicant is regularly and primarily employed. Presentations to lay public are excluded.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Scholarly research or other activities, the results of which are published in a recognized professional publication such as a refereed journal, monograph or conference proceedings. The scholarly research must be integrally related to the practice of the professions.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Publication in a refereed journal. The article in a refereed journal for which the licensee is seeking continuing education credit must be integrally related to the practice of the professions.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Teaching in an approved college, university, or graduate school. The licensee may receive credit on a one-time basis for the first offering of the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Authoring papers, publications, and books. The licensee will receive 5 hours of credit per page with a maximum of 20 hours of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Serving on a state or national professional board. The licensee will receive a maximum of three hours of credit.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892.3(3)</w:t>
      </w:r>
      <w:r>
        <w:rPr>
          <w:rFonts w:ascii="Times New Roman" w:hAnsi="Times New Roman"/>
          <w:b w:val="false"/>
          <w:i w:val="false"/>
          <w:color w:val="000000"/>
          <w:sz w:val="22"/>
        </w:rPr>
        <w:t> </w:t>
      </w:r>
      <w:r>
        <w:rPr>
          <w:rFonts w:ascii="Times New Roman" w:hAnsi="Times New Roman"/>
          <w:b w:val="false"/>
          <w:i/>
          <w:color w:val="000000"/>
          <w:sz w:val="22"/>
        </w:rPr>
        <w:t xml:space="preserve">Required specific criteria: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Three hours of the 40 continuing education hours will be in ethics.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Effective with the biennial continuing education compliance period that begins October 1, 2022, persons serving in a supervisory role must complete three hours of continuing education in supervision.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Effective July 1, 2019, a licensee who regularly examines, attends, counsels or treats adults in Iowa shall complete, within six months of employment or prior to the expiration of a current certification, an initial two-hour course in dependent adult abuse training for mandatory reporters offered by the department of health and human services. Thereafter, all mandatory reporters shall take a one-hour recertification training every three years, prior to the expiration of a current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Effective July 1, 2019, a licensee who regularly examines, attends, counsels or treats children in Iowa shall complete, within six months of employment or prior to the expiration of a current certification, an initial two-hour course in child abuse training for mandatory reporters offered by the department of health and human services. Thereafter, all mandatory reporters shall take a one-hour recertification training every three years, prior to the expiration of a current certification.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7918C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5">
        <w:r>
          <w:rPr>
            <w:rStyle w:val="Hyperlink"/>
            <w:rFonts w:ascii="Times New Roman" w:hAnsi="Times New Roman"/>
            <w:b w:val="false"/>
            <w:i w:val="false"/>
            <w:color w:val="000000"/>
            <w:sz w:val="22"/>
          </w:rPr>
          <w:t>272C.2</w:t>
        </w:r>
      </w:hyperlink>
      <w:r>
        <w:rPr>
          <w:rFonts w:ascii="Times New Roman" w:hAnsi="Times New Roman"/>
          <w:b w:val="false"/>
          <w:i w:val="false"/>
          <w:color w:val="000000"/>
          <w:sz w:val="22"/>
        </w:rPr>
        <w:t xml:space="preserve"> and chapter </w:t>
      </w:r>
      <w:hyperlink r:id="rId6">
        <w:r>
          <w:rPr>
            <w:rStyle w:val="Hyperlink"/>
            <w:rFonts w:ascii="Times New Roman" w:hAnsi="Times New Roman"/>
            <w:b w:val="false"/>
            <w:i w:val="false"/>
            <w:color w:val="000000"/>
            <w:sz w:val="22"/>
          </w:rPr>
          <w:t>154D</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2/1/01, Notice 10/18/00—published 2/21/01, effective 3/28/01]</w:t>
      </w:r>
    </w:p>
    <w:p>
      <w:pPr>
        <w:spacing w:before="0" w:after="0"/>
        <w:ind w:left="120"/>
        <w:jc w:val="center"/>
      </w:pPr>
      <w:r>
        <w:rPr>
          <w:rFonts w:ascii="Times New Roman" w:hAnsi="Times New Roman"/>
          <w:b w:val="false"/>
          <w:i w:val="false"/>
          <w:color w:val="000000"/>
          <w:sz w:val="21"/>
        </w:rPr>
        <w:t>[Filed 12/6/01, Notice 10/3/01—published 12/26/01, effective 1/30/02]</w:t>
      </w:r>
    </w:p>
    <w:p>
      <w:pPr>
        <w:spacing w:before="0" w:after="0"/>
        <w:ind w:left="120"/>
        <w:jc w:val="center"/>
      </w:pPr>
      <w:r>
        <w:rPr>
          <w:rFonts w:ascii="Times New Roman" w:hAnsi="Times New Roman"/>
          <w:b w:val="false"/>
          <w:i w:val="false"/>
          <w:color w:val="000000"/>
          <w:sz w:val="21"/>
        </w:rPr>
        <w:t>[Filed 6/15/05, Notice 4/13/05—published 7/6/05, effective 8/10/05]</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12/11/08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10/22/08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1/14/09</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2/18/09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9547B</w:t>
      </w:r>
      <w:r>
        <w:rPr>
          <w:rFonts w:ascii="Times New Roman" w:hAnsi="Times New Roman"/>
          <w:b w:val="false"/>
          <w:i w:val="false"/>
          <w:color w:val="000000"/>
          <w:sz w:val="21"/>
        </w:rPr>
        <w:t xml:space="preserve"> (Notice ARC 9416B, IAB 3/9/11)</w:t>
      </w:r>
      <w:r>
        <w:rPr>
          <w:rFonts w:ascii="Times New Roman" w:hAnsi="Times New Roman"/>
          <w:b w:val="false"/>
          <w:i w:val="false"/>
          <w:color w:val="000000"/>
          <w:sz w:val="21"/>
        </w:rPr>
        <w:t>, IAB 6/1/11, effective 7/6/11]</w:t>
      </w:r>
    </w:p>
    <w:p>
      <w:pPr>
        <w:spacing w:before="0" w:after="0"/>
        <w:ind w:left="120"/>
        <w:jc w:val="center"/>
      </w:pPr>
      <w:r>
        <w:rPr>
          <w:rFonts w:ascii="Times New Roman" w:hAnsi="Times New Roman"/>
          <w:b w:val="false"/>
          <w:i w:val="false"/>
          <w:color w:val="000000"/>
          <w:sz w:val="21"/>
        </w:rPr>
        <w:t>[Filed ARC 2845C</w:t>
      </w:r>
      <w:r>
        <w:rPr>
          <w:rFonts w:ascii="Times New Roman" w:hAnsi="Times New Roman"/>
          <w:b w:val="false"/>
          <w:i w:val="false"/>
          <w:color w:val="000000"/>
          <w:sz w:val="21"/>
        </w:rPr>
        <w:t xml:space="preserve"> (Notice ARC 2738C, IAB 9/28/16)</w:t>
      </w:r>
      <w:r>
        <w:rPr>
          <w:rFonts w:ascii="Times New Roman" w:hAnsi="Times New Roman"/>
          <w:b w:val="false"/>
          <w:i w:val="false"/>
          <w:color w:val="000000"/>
          <w:sz w:val="21"/>
        </w:rPr>
        <w:t>, IAB 12/7/16, effective 1/11/17]</w:t>
      </w:r>
    </w:p>
    <w:p>
      <w:pPr>
        <w:spacing w:before="0" w:after="0"/>
        <w:ind w:left="120"/>
        <w:jc w:val="center"/>
      </w:pPr>
      <w:r>
        <w:rPr>
          <w:rFonts w:ascii="Times New Roman" w:hAnsi="Times New Roman"/>
          <w:b w:val="false"/>
          <w:i w:val="false"/>
          <w:color w:val="000000"/>
          <w:sz w:val="21"/>
        </w:rPr>
        <w:t>[Filed ARC 5011C</w:t>
      </w:r>
      <w:r>
        <w:rPr>
          <w:rFonts w:ascii="Times New Roman" w:hAnsi="Times New Roman"/>
          <w:b w:val="false"/>
          <w:i w:val="false"/>
          <w:color w:val="000000"/>
          <w:sz w:val="21"/>
        </w:rPr>
        <w:t xml:space="preserve"> (Notice ARC 4746C, IAB 11/6/19)</w:t>
      </w:r>
      <w:r>
        <w:rPr>
          <w:rFonts w:ascii="Times New Roman" w:hAnsi="Times New Roman"/>
          <w:b w:val="false"/>
          <w:i w:val="false"/>
          <w:color w:val="000000"/>
          <w:sz w:val="21"/>
        </w:rPr>
        <w:t>, IAB 3/25/20, effective 4/29/20]</w:t>
      </w:r>
    </w:p>
    <w:p>
      <w:pPr>
        <w:spacing w:before="0" w:after="0"/>
        <w:ind w:left="120"/>
        <w:jc w:val="center"/>
      </w:pPr>
      <w:r>
        <w:rPr>
          <w:rFonts w:ascii="Times New Roman" w:hAnsi="Times New Roman"/>
          <w:b w:val="false"/>
          <w:i w:val="false"/>
          <w:color w:val="000000"/>
          <w:sz w:val="21"/>
        </w:rPr>
        <w:t>[Filed ARC 7918C</w:t>
      </w:r>
      <w:r>
        <w:rPr>
          <w:rFonts w:ascii="Times New Roman" w:hAnsi="Times New Roman"/>
          <w:b w:val="false"/>
          <w:i w:val="false"/>
          <w:color w:val="000000"/>
          <w:sz w:val="21"/>
        </w:rPr>
        <w:t xml:space="preserve"> (Notice ARC 7294C, IAB 1/24/24)</w:t>
      </w:r>
      <w:r>
        <w:rPr>
          <w:rFonts w:ascii="Times New Roman" w:hAnsi="Times New Roman"/>
          <w:b w:val="false"/>
          <w:i w:val="false"/>
          <w:color w:val="000000"/>
          <w:sz w:val="21"/>
        </w:rPr>
        <w:t>, IAB 5/1/24, effective 6/5/24]</w:t>
      </w:r>
    </w:p>
    <w:p>
      <w:pPr>
        <w:spacing w:before="0" w:after="0"/>
        <w:ind w:left="120"/>
        <w:jc w:val="center"/>
      </w:pPr>
      <w:r>
        <w:rPr>
          <w:rFonts w:ascii="Times New Roman" w:hAnsi="Times New Roman"/>
          <w:b w:val="false"/>
          <w:i w:val="false"/>
          <w:color w:val="000000"/>
          <w:sz w:val="21"/>
        </w:rPr>
        <w:t>[Editorial change: IAC Supplement 9/18/24]</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481.892.3.pdf" Type="http://schemas.openxmlformats.org/officeDocument/2006/relationships/hyperlink" Id="rId4"/>
    <Relationship TargetMode="External" Target="https://www.legis.iowa.gov/docs/ico/chapter/272C.pdf" Type="http://schemas.openxmlformats.org/officeDocument/2006/relationships/hyperlink" Id="rId5"/>
    <Relationship TargetMode="External" Target="https://www.legis.iowa.gov/docs/ico/chapter/154D.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