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BEHAVIORAL SCIENCES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891</w:t>
      </w:r>
    </w:p>
    <w:p>
      <w:pPr>
        <w:spacing w:before="0" w:after="0"/>
        <w:ind w:left="120"/>
        <w:jc w:val="center"/>
      </w:pPr>
      <w:r>
        <w:rPr>
          <w:rFonts w:ascii="Times New Roman" w:hAnsi="Times New Roman"/>
          <w:b w:val="false"/>
          <w:i w:val="false"/>
          <w:color w:val="000000"/>
          <w:sz w:val="21"/>
        </w:rPr>
        <w:t>LICENSURE OF MARITAL AND FAMILY THERAPISTS, MENTAL HEALTH COUNSELORS, BEHAVIOR ANALYSTS, AND ASSISTANT BEHAVIOR ANALYSTS</w:t>
      </w:r>
    </w:p>
    <w:p>
      <w:pPr>
        <w:spacing w:before="0" w:after="0"/>
        <w:ind w:left="120"/>
        <w:jc w:val="center"/>
      </w:pPr>
      <w:r>
        <w:rPr>
          <w:rFonts w:ascii="Times New Roman" w:hAnsi="Times New Roman"/>
          <w:b w:val="false"/>
          <w:i w:val="false"/>
          <w:color w:val="000000"/>
          <w:sz w:val="12"/>
        </w:rPr>
        <w:t>[Prior to 1/30/02, see 645—Chapter 30]</w:t>
      </w:r>
    </w:p>
    <w:p>
      <w:pPr>
        <w:spacing w:before="0" w:after="0"/>
        <w:ind w:left="120"/>
        <w:jc w:val="center"/>
      </w:pPr>
      <w:r>
        <w:rPr>
          <w:rFonts w:ascii="Times New Roman" w:hAnsi="Times New Roman"/>
          <w:b w:val="false"/>
          <w:i w:val="false"/>
          <w:color w:val="000000"/>
          <w:sz w:val="14"/>
        </w:rPr>
        <w:t>[Prior to 9/18/24, see Professional Licensure Division[645] Ch 31]</w:t>
      </w:r>
    </w:p>
    <w:p>
      <w:pPr>
        <w:spacing w:before="0" w:after="0"/>
        <w:ind w:left="120"/>
        <w:jc w:val="both"/>
      </w:pPr>
      <w:r>
        <w:rPr>
          <w:rFonts w:ascii="Times New Roman" w:hAnsi="Times New Roman"/>
          <w:b/>
          <w:i w:val="false"/>
          <w:color w:val="000000"/>
          <w:sz w:val="22"/>
        </w:rPr>
        <w:t>481—891.1</w:t>
      </w:r>
      <w:r>
        <w:rPr>
          <w:rFonts w:ascii="Times New Roman" w:hAnsi="Times New Roman"/>
          <w:b/>
          <w:i w:val="false"/>
          <w:color w:val="000000"/>
          <w:sz w:val="22"/>
        </w:rPr>
        <w:t xml:space="preserve">(154D)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“ACA” </w:t>
      </w:r>
      <w:r>
        <w:rPr>
          <w:rFonts w:ascii="Times New Roman" w:hAnsi="Times New Roman"/>
          <w:b w:val="false"/>
          <w:i w:val="false"/>
          <w:color w:val="000000"/>
          <w:sz w:val="22"/>
        </w:rPr>
        <w:t>means the American Counseling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“AMFTRB” </w:t>
      </w:r>
      <w:r>
        <w:rPr>
          <w:rFonts w:ascii="Times New Roman" w:hAnsi="Times New Roman"/>
          <w:b w:val="false"/>
          <w:i w:val="false"/>
          <w:color w:val="000000"/>
          <w:sz w:val="22"/>
        </w:rPr>
        <w:t>means the Association of Marital and Family Therapy Regulatory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“AMHCA” </w:t>
      </w:r>
      <w:r>
        <w:rPr>
          <w:rFonts w:ascii="Times New Roman" w:hAnsi="Times New Roman"/>
          <w:b w:val="false"/>
          <w:i w:val="false"/>
          <w:color w:val="000000"/>
          <w:sz w:val="22"/>
        </w:rPr>
        <w:t>means the American Mental Health Counselors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“BACB” </w:t>
      </w:r>
      <w:r>
        <w:rPr>
          <w:rFonts w:ascii="Times New Roman" w:hAnsi="Times New Roman"/>
          <w:b w:val="false"/>
          <w:i w:val="false"/>
          <w:color w:val="000000"/>
          <w:sz w:val="22"/>
        </w:rPr>
        <w:t>means the Behavior Analyst Certification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behavioral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“CCE” </w:t>
      </w:r>
      <w:r>
        <w:rPr>
          <w:rFonts w:ascii="Times New Roman" w:hAnsi="Times New Roman"/>
          <w:b w:val="false"/>
          <w:i w:val="false"/>
          <w:color w:val="000000"/>
          <w:sz w:val="22"/>
        </w:rPr>
        <w:t xml:space="preserve">means the Center for Credentialing and Education, Inc.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“Course” </w:t>
      </w:r>
      <w:r>
        <w:rPr>
          <w:rFonts w:ascii="Times New Roman" w:hAnsi="Times New Roman"/>
          <w:b w:val="false"/>
          <w:i w:val="false"/>
          <w:color w:val="000000"/>
          <w:sz w:val="22"/>
        </w:rPr>
        <w:t xml:space="preserve">means three graduate semester credit hours.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 xml:space="preserve">means the 30-day period following expiration of a license when the license is still considered to be active.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marital and family therapist, mental health counselor, behavior analyst, or assistant behavior analyst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September 30 of even-numbered years for marital and family therapists and mental health counselors, and means the expiration date of the certification issued by the Behavior Analyst Certification Board for behavior analysts and assistant behavior analysts.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mental health counseling or marital and family therapy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health setting” </w:t>
      </w:r>
      <w:r>
        <w:rPr>
          <w:rFonts w:ascii="Times New Roman" w:hAnsi="Times New Roman"/>
          <w:b w:val="false"/>
          <w:i w:val="false"/>
          <w:color w:val="000000"/>
          <w:sz w:val="22"/>
        </w:rPr>
        <w:t>means a behavioral health setting where an applicant is providing mental health services including the diagnosis, treatment, and assessment of emotional and mental health disorders and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“NBCC” </w:t>
      </w:r>
      <w:r>
        <w:rPr>
          <w:rFonts w:ascii="Times New Roman" w:hAnsi="Times New Roman"/>
          <w:b w:val="false"/>
          <w:i w:val="false"/>
          <w:color w:val="000000"/>
          <w:sz w:val="22"/>
        </w:rPr>
        <w:t>means the National Board for Certified Counselors.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4">
        <w:r>
          <w:rPr>
            <w:rStyle w:val="Hyperlink"/>
            <w:rFonts w:ascii="Times New Roman" w:hAnsi="Times New Roman"/>
            <w:b w:val="false"/>
            <w:i w:val="false"/>
            <w:color w:val="000000"/>
            <w:sz w:val="22"/>
          </w:rPr>
          <w:t>481—891.13</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license” </w:t>
      </w:r>
      <w:r>
        <w:rPr>
          <w:rFonts w:ascii="Times New Roman" w:hAnsi="Times New Roman"/>
          <w:b w:val="false"/>
          <w:i w:val="false"/>
          <w:color w:val="000000"/>
          <w:sz w:val="22"/>
        </w:rPr>
        <w:t>means a license to practice marital and family therapy or mental health counseling under direct supervision of a qualified supervisor as determined by the board by rule to fulfill the postgraduate supervised clinical experience requirement in accordance with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481—891.2</w:t>
      </w:r>
      <w:r>
        <w:rPr>
          <w:rFonts w:ascii="Times New Roman" w:hAnsi="Times New Roman"/>
          <w:b/>
          <w:i w:val="false"/>
          <w:color w:val="000000"/>
          <w:sz w:val="22"/>
        </w:rPr>
        <w:t xml:space="preserve">(154D) </w:t>
      </w:r>
      <w:r>
        <w:rPr>
          <w:rFonts w:ascii="Times New Roman" w:hAnsi="Times New Roman"/>
          <w:b/>
          <w:i w:val="false"/>
          <w:color w:val="000000"/>
          <w:sz w:val="22"/>
        </w:rPr>
        <w:t xml:space="preserve">Requirements for permanent and temporary licensure as a mental health counselor or marriage and family therapist. </w:t>
      </w:r>
      <w:r>
        <w:rPr>
          <w:rFonts w:ascii="Times New Roman" w:hAnsi="Times New Roman"/>
          <w:b w:val="false"/>
          <w:i w:val="false"/>
          <w:color w:val="000000"/>
          <w:sz w:val="22"/>
        </w:rPr>
        <w:t>The following criteria shall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submit a completed online application for licensure and pay the nonrefundable licensure fee specified in rule </w:t>
      </w:r>
      <w:hyperlink r:id="rId6">
        <w:r>
          <w:rPr>
            <w:rStyle w:val="Hyperlink"/>
            <w:rFonts w:ascii="Times New Roman" w:hAnsi="Times New Roman"/>
            <w:b w:val="false"/>
            <w:i w:val="false"/>
            <w:color w:val="000000"/>
            <w:sz w:val="22"/>
          </w:rPr>
          <w:t>481—507.3</w:t>
        </w:r>
      </w:hyperlink>
      <w:r>
        <w:rPr>
          <w:rFonts w:ascii="Times New Roman" w:hAnsi="Times New Roman"/>
          <w:b w:val="false"/>
          <w:i w:val="false"/>
          <w:color w:val="000000"/>
          <w:sz w:val="22"/>
        </w:rPr>
        <w:t>(147,154D).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891.2(2)</w:t>
      </w:r>
      <w:r>
        <w:rPr>
          <w:rFonts w:ascii="Times New Roman" w:hAnsi="Times New Roman"/>
          <w:b w:val="false"/>
          <w:i w:val="false"/>
          <w:color w:val="000000"/>
          <w:sz w:val="22"/>
        </w:rPr>
        <w:t> </w:t>
      </w:r>
      <w:r>
        <w:rPr>
          <w:rFonts w:ascii="Times New Roman" w:hAnsi="Times New Roman"/>
          <w:b w:val="false"/>
          <w:i w:val="false"/>
          <w:color w:val="000000"/>
          <w:sz w:val="22"/>
        </w:rPr>
        <w:t>The applicant for a mental health counseling license shall submit two completed fingerprint cards and a signed waiver form to facilitate a national criminal history background check by the Iowa division of criminal investigation (DCI) and the Federal Bureau of Investigation (FBI). The cost of the criminal history background check by the DCI and the FBI shall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891.2(3)</w:t>
      </w:r>
      <w:r>
        <w:rPr>
          <w:rFonts w:ascii="Times New Roman" w:hAnsi="Times New Roman"/>
          <w:b w:val="false"/>
          <w:i w:val="false"/>
          <w:color w:val="000000"/>
          <w:sz w:val="22"/>
        </w:rPr>
        <w:t> </w:t>
      </w:r>
      <w:r>
        <w:rPr>
          <w:rFonts w:ascii="Times New Roman" w:hAnsi="Times New Roman"/>
          <w:b w:val="false"/>
          <w:i w:val="false"/>
          <w:color w:val="000000"/>
          <w:sz w:val="22"/>
        </w:rPr>
        <w:t>No application will be considered by the board until official copies of academic transcripts sent directly from the school to the board of behavioral science have been received by the board or an equivalency evaluation completed by the CCE has been received by the board. The applicant shall present proof of meeting the educational requirements. Documentation of such proof shall be on file in the board office with the application and include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licensure as a marital and family therapist, an official transcript verifying completion of a marital and family therapy program accredited by the Commission on Accreditation for Marriage and Family Therapy Education (COAMFTE) as defined in subrule </w:t>
      </w:r>
      <w:hyperlink r:id="rId7">
        <w:r>
          <w:rPr>
            <w:rStyle w:val="Hyperlink"/>
            <w:rFonts w:ascii="Times New Roman" w:hAnsi="Times New Roman"/>
            <w:b w:val="false"/>
            <w:i w:val="false"/>
            <w:color w:val="000000"/>
            <w:sz w:val="22"/>
          </w:rPr>
          <w:t>891.5(1)</w:t>
        </w:r>
      </w:hyperlink>
      <w:r>
        <w:rPr>
          <w:rFonts w:ascii="Times New Roman" w:hAnsi="Times New Roman"/>
          <w:b w:val="false"/>
          <w:i w:val="false"/>
          <w:color w:val="000000"/>
          <w:sz w:val="22"/>
        </w:rPr>
        <w:t xml:space="preserve"> or an equivalency evaluation of the applicant’s educational credentials completed by CCE as defined in subrule </w:t>
      </w:r>
      <w:hyperlink r:id="rId8">
        <w:r>
          <w:rPr>
            <w:rStyle w:val="Hyperlink"/>
            <w:rFonts w:ascii="Times New Roman" w:hAnsi="Times New Roman"/>
            <w:b w:val="false"/>
            <w:i w:val="false"/>
            <w:color w:val="000000"/>
            <w:sz w:val="22"/>
          </w:rPr>
          <w:t>891.5(2)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licensure as a mental health counselor, an official transcript verifying completion of a mental health counseling program accredited by the Council on Accreditation of Counseling and Related Educational Programs (CACREP) as defined in </w:t>
      </w:r>
      <w:hyperlink r:id="rId9">
        <w:r>
          <w:rPr>
            <w:rStyle w:val="Hyperlink"/>
            <w:rFonts w:ascii="Times New Roman" w:hAnsi="Times New Roman"/>
            <w:b w:val="false"/>
            <w:i w:val="false"/>
            <w:color w:val="000000"/>
            <w:sz w:val="22"/>
          </w:rPr>
          <w:t>subrule 891.6(1)</w:t>
        </w:r>
      </w:hyperlink>
      <w:r>
        <w:rPr>
          <w:rFonts w:ascii="Times New Roman" w:hAnsi="Times New Roman"/>
          <w:b w:val="false"/>
          <w:i w:val="false"/>
          <w:color w:val="000000"/>
          <w:sz w:val="22"/>
        </w:rPr>
        <w:t xml:space="preserve"> or an equivalency evaluation of the applicant’s educational credentials completed by CCE as defined in subrule </w:t>
      </w:r>
      <w:hyperlink r:id="rId10">
        <w:r>
          <w:rPr>
            <w:rStyle w:val="Hyperlink"/>
            <w:rFonts w:ascii="Times New Roman" w:hAnsi="Times New Roman"/>
            <w:b w:val="false"/>
            <w:i w:val="false"/>
            <w:color w:val="000000"/>
            <w:sz w:val="22"/>
          </w:rPr>
          <w:t>891.6(2)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is required to take the examination(s) provided in rule </w:t>
      </w:r>
      <w:hyperlink r:id="rId11">
        <w:r>
          <w:rPr>
            <w:rStyle w:val="Hyperlink"/>
            <w:rFonts w:ascii="Times New Roman" w:hAnsi="Times New Roman"/>
            <w:b w:val="false"/>
            <w:i w:val="false"/>
            <w:color w:val="000000"/>
            <w:sz w:val="22"/>
          </w:rPr>
          <w:t>481—891.3</w:t>
        </w:r>
      </w:hyperlink>
      <w:r>
        <w:rPr>
          <w:rFonts w:ascii="Times New Roman" w:hAnsi="Times New Roman"/>
          <w:b w:val="false"/>
          <w:i w:val="false"/>
          <w:color w:val="000000"/>
          <w:sz w:val="22"/>
        </w:rPr>
        <w:t xml:space="preserve">(1).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for permanent licensure shall submit the required attestation of supervision forms documenting clinical experience as required in rule </w:t>
      </w:r>
      <w:hyperlink r:id="rId12">
        <w:r>
          <w:rPr>
            <w:rStyle w:val="Hyperlink"/>
            <w:rFonts w:ascii="Times New Roman" w:hAnsi="Times New Roman"/>
            <w:b w:val="false"/>
            <w:i w:val="false"/>
            <w:color w:val="000000"/>
            <w:sz w:val="22"/>
          </w:rPr>
          <w:t>481—891.7</w:t>
        </w:r>
      </w:hyperlink>
      <w:r>
        <w:rPr>
          <w:rFonts w:ascii="Times New Roman" w:hAnsi="Times New Roman"/>
          <w:b w:val="false"/>
          <w:i w:val="false"/>
          <w:color w:val="000000"/>
          <w:sz w:val="22"/>
        </w:rPr>
        <w:t>(154D).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891.2(6)</w:t>
      </w:r>
      <w:r>
        <w:rPr>
          <w:rFonts w:ascii="Times New Roman" w:hAnsi="Times New Roman"/>
          <w:b w:val="false"/>
          <w:i w:val="false"/>
          <w:color w:val="000000"/>
          <w:sz w:val="22"/>
        </w:rPr>
        <w:t> </w:t>
      </w:r>
      <w:r>
        <w:rPr>
          <w:rFonts w:ascii="Times New Roman" w:hAnsi="Times New Roman"/>
          <w:b w:val="false"/>
          <w:i w:val="false"/>
          <w:color w:val="000000"/>
          <w:sz w:val="22"/>
        </w:rPr>
        <w:t>The applicant for temporary licensure must submit a supervision plan to the board prior to licensure. Within 30 days of completion of the supervised clinical experience, the attestation of the completed supervised experience must be submitted to the board office. The temporary licensee shall remain under supervision until a permanent license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891.2(7)</w:t>
      </w:r>
      <w:r>
        <w:rPr>
          <w:rFonts w:ascii="Times New Roman" w:hAnsi="Times New Roman"/>
          <w:b w:val="false"/>
          <w:i w:val="false"/>
          <w:color w:val="000000"/>
          <w:sz w:val="22"/>
        </w:rPr>
        <w:t> </w:t>
      </w:r>
      <w:r>
        <w:rPr>
          <w:rFonts w:ascii="Times New Roman" w:hAnsi="Times New Roman"/>
          <w:b w:val="false"/>
          <w:i w:val="false"/>
          <w:color w:val="000000"/>
          <w:sz w:val="22"/>
        </w:rPr>
        <w:t>A temporary license is only valid for the purpose of fulfilling the postgraduate supervised clinical experience requirement. It is valid for three years and may be renewed at the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891.2(8)</w:t>
      </w:r>
      <w:r>
        <w:rPr>
          <w:rFonts w:ascii="Times New Roman" w:hAnsi="Times New Roman"/>
          <w:b w:val="false"/>
          <w:i w:val="false"/>
          <w:color w:val="000000"/>
          <w:sz w:val="22"/>
        </w:rPr>
        <w:t> </w:t>
      </w:r>
      <w:r>
        <w:rPr>
          <w:rFonts w:ascii="Times New Roman" w:hAnsi="Times New Roman"/>
          <w:b w:val="false"/>
          <w:i w:val="false"/>
          <w:color w:val="000000"/>
          <w:sz w:val="22"/>
        </w:rPr>
        <w:t>A licensee who was issued an initial permanent license within six months prior to the renewal shall not be required to renew the license until the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891.2(9)</w:t>
      </w:r>
      <w:r>
        <w:rPr>
          <w:rFonts w:ascii="Times New Roman" w:hAnsi="Times New Roman"/>
          <w:b w:val="false"/>
          <w:i w:val="false"/>
          <w:color w:val="000000"/>
          <w:sz w:val="22"/>
        </w:rPr>
        <w:t> </w:t>
      </w:r>
      <w:r>
        <w:rPr>
          <w:rFonts w:ascii="Times New Roman" w:hAnsi="Times New Roman"/>
          <w:b w:val="false"/>
          <w:i w:val="false"/>
          <w:color w:val="000000"/>
          <w:sz w:val="22"/>
        </w:rPr>
        <w:t>An application for a temporary or permanent license will be considered active for two years from the date the application is received. If the applicant does not submit all materials within this time period or if the applicant does not meet the requirements for the license, the application shall be considered incomplete. An applicant whose application is filed incomplete must submit a new application, supporting materials, and the application fee. The board shall destroy incomplete applications after two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481—891.3</w:t>
      </w:r>
      <w:r>
        <w:rPr>
          <w:rFonts w:ascii="Times New Roman" w:hAnsi="Times New Roman"/>
          <w:b/>
          <w:i w:val="false"/>
          <w:color w:val="000000"/>
          <w:sz w:val="22"/>
        </w:rPr>
        <w:t xml:space="preserve">(154D) </w:t>
      </w:r>
      <w:r>
        <w:rPr>
          <w:rFonts w:ascii="Times New Roman" w:hAnsi="Times New Roman"/>
          <w:b/>
          <w:i w:val="false"/>
          <w:color w:val="000000"/>
          <w:sz w:val="22"/>
        </w:rPr>
        <w:t xml:space="preserve">Examination requirements for mental health counselors and marital and family therapists. </w:t>
      </w:r>
      <w:r>
        <w:rPr>
          <w:rFonts w:ascii="Times New Roman" w:hAnsi="Times New Roman"/>
          <w:b w:val="false"/>
          <w:i w:val="false"/>
          <w:color w:val="000000"/>
          <w:sz w:val="22"/>
        </w:rPr>
        <w:t>The following criteria shall apply to the written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891.3(1)</w:t>
      </w:r>
      <w:r>
        <w:rPr>
          <w:rFonts w:ascii="Times New Roman" w:hAnsi="Times New Roman"/>
          <w:b w:val="false"/>
          <w:i w:val="false"/>
          <w:color w:val="000000"/>
          <w:sz w:val="22"/>
        </w:rPr>
        <w:t> </w:t>
      </w:r>
      <w:r>
        <w:rPr>
          <w:rFonts w:ascii="Times New Roman" w:hAnsi="Times New Roman"/>
          <w:b w:val="false"/>
          <w:i w:val="false"/>
          <w:color w:val="000000"/>
          <w:sz w:val="22"/>
        </w:rPr>
        <w:t>The applicant will take and pass the following examinations in order to qualify for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marital and family therapist license, the AMFTRB Examination in Marital and Family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mental health counselor license or a temporary mental health counselor license, the National Counselor Examination (NCE) of the NBCC or the National Clinical Mental Health Counselor Examination (NCMHCE) of the NBCC. For a temporary mental health counselor license, the NCE of the NBCC or the NCMHCE of the NBCC.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mental health counselor license, the NCMHCE of the NBCC.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891.3(2)</w:t>
      </w:r>
      <w:r>
        <w:rPr>
          <w:rFonts w:ascii="Times New Roman" w:hAnsi="Times New Roman"/>
          <w:b w:val="false"/>
          <w:i w:val="false"/>
          <w:color w:val="000000"/>
          <w:sz w:val="22"/>
        </w:rPr>
        <w:t> </w:t>
      </w:r>
      <w:r>
        <w:rPr>
          <w:rFonts w:ascii="Times New Roman" w:hAnsi="Times New Roman"/>
          <w:b w:val="false"/>
          <w:i w:val="false"/>
          <w:color w:val="000000"/>
          <w:sz w:val="22"/>
        </w:rPr>
        <w:t>The passing score on the written examination shall be the passing point criterion established by the appropriate national testing authority at the time the test was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891.3(3)</w:t>
      </w:r>
      <w:r>
        <w:rPr>
          <w:rFonts w:ascii="Times New Roman" w:hAnsi="Times New Roman"/>
          <w:b w:val="false"/>
          <w:i w:val="false"/>
          <w:color w:val="000000"/>
          <w:sz w:val="22"/>
        </w:rPr>
        <w:t> </w:t>
      </w:r>
      <w:r>
        <w:rPr>
          <w:rFonts w:ascii="Times New Roman" w:hAnsi="Times New Roman"/>
          <w:b w:val="false"/>
          <w:i w:val="false"/>
          <w:color w:val="000000"/>
          <w:sz w:val="22"/>
        </w:rPr>
        <w:t>An applicant who is requesting approval to take the licensure examination prior to graduation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completed online application for licensure and pay the nonrefundable licensure fee specified in rule </w:t>
      </w:r>
      <w:hyperlink r:id="rId13">
        <w:r>
          <w:rPr>
            <w:rStyle w:val="Hyperlink"/>
            <w:rFonts w:ascii="Times New Roman" w:hAnsi="Times New Roman"/>
            <w:b w:val="false"/>
            <w:i w:val="false"/>
            <w:color w:val="000000"/>
            <w:sz w:val="22"/>
          </w:rPr>
          <w:t>481—507.3</w:t>
        </w:r>
      </w:hyperlink>
      <w:r>
        <w:rPr>
          <w:rFonts w:ascii="Times New Roman" w:hAnsi="Times New Roman"/>
          <w:b w:val="false"/>
          <w:i w:val="false"/>
          <w:color w:val="000000"/>
          <w:sz w:val="22"/>
        </w:rPr>
        <w:t>(147,154D).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letter on official school letterhead sent directly from the program director to the board indicating that the applicant is in good academic standing; that the applicant will graduate from the program within three months of the date on the letter; and the applicant’s anticipated date of graduation.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481—891.4</w:t>
      </w:r>
      <w:r>
        <w:rPr>
          <w:rFonts w:ascii="Times New Roman" w:hAnsi="Times New Roman"/>
          <w:b/>
          <w:i w:val="false"/>
          <w:color w:val="000000"/>
          <w:sz w:val="22"/>
        </w:rPr>
        <w:t xml:space="preserve">(147) </w:t>
      </w:r>
      <w:r>
        <w:rPr>
          <w:rFonts w:ascii="Times New Roman" w:hAnsi="Times New Roman"/>
          <w:b/>
          <w:i w:val="false"/>
          <w:color w:val="000000"/>
          <w:sz w:val="22"/>
        </w:rPr>
        <w:t xml:space="preserve">Professional counselor licensing compact. </w:t>
      </w:r>
      <w:r>
        <w:rPr>
          <w:rFonts w:ascii="Times New Roman" w:hAnsi="Times New Roman"/>
          <w:b w:val="false"/>
          <w:i w:val="false"/>
          <w:color w:val="000000"/>
          <w:sz w:val="22"/>
        </w:rPr>
        <w:t xml:space="preserve">The rules of the Counseling Compact Commission are incorporated by reference.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481—891.5</w:t>
      </w:r>
      <w:r>
        <w:rPr>
          <w:rFonts w:ascii="Times New Roman" w:hAnsi="Times New Roman"/>
          <w:b/>
          <w:i w:val="false"/>
          <w:color w:val="000000"/>
          <w:sz w:val="22"/>
        </w:rPr>
        <w:t xml:space="preserve">(154D) </w:t>
      </w:r>
      <w:r>
        <w:rPr>
          <w:rFonts w:ascii="Times New Roman" w:hAnsi="Times New Roman"/>
          <w:b/>
          <w:i w:val="false"/>
          <w:color w:val="000000"/>
          <w:sz w:val="22"/>
        </w:rPr>
        <w:t xml:space="preserve">Educational qualifications for marital and family therapists. </w:t>
      </w:r>
      <w:r>
        <w:rPr>
          <w:rFonts w:ascii="Times New Roman" w:hAnsi="Times New Roman"/>
          <w:b w:val="false"/>
          <w:i w:val="false"/>
          <w:color w:val="000000"/>
          <w:sz w:val="22"/>
        </w:rPr>
        <w:t xml:space="preserve">The applicant must complete the required semester credit hours, or equivalent quarter hours, of graduate level coursework in each of the content areas identified in subrule </w:t>
      </w:r>
      <w:r>
        <w:rPr>
          <w:rFonts w:ascii="Times New Roman" w:hAnsi="Times New Roman"/>
          <w:b w:val="false"/>
          <w:i w:val="false"/>
          <w:color w:val="000000"/>
          <w:sz w:val="22"/>
        </w:rPr>
        <w:t>891.5(2)</w:t>
      </w:r>
      <w:r>
        <w:rPr>
          <w:rFonts w:ascii="Times New Roman" w:hAnsi="Times New Roman"/>
          <w:b w:val="false"/>
          <w:i w:val="false"/>
          <w:color w:val="000000"/>
          <w:sz w:val="22"/>
        </w:rPr>
        <w:t>; no course may be used more than once. The applicant must present proof of completion of the following educational requirements for licensure as a marital and family therapist: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891.5(1)</w:t>
      </w:r>
      <w:r>
        <w:rPr>
          <w:rFonts w:ascii="Times New Roman" w:hAnsi="Times New Roman"/>
          <w:b w:val="false"/>
          <w:i w:val="false"/>
          <w:color w:val="000000"/>
          <w:sz w:val="22"/>
        </w:rPr>
        <w:t> </w:t>
      </w:r>
      <w:r>
        <w:rPr>
          <w:rFonts w:ascii="Times New Roman" w:hAnsi="Times New Roman"/>
          <w:b w:val="false"/>
          <w:i/>
          <w:color w:val="000000"/>
          <w:sz w:val="22"/>
        </w:rPr>
        <w:t xml:space="preserve">Accredited program. </w:t>
      </w:r>
      <w:r>
        <w:rPr>
          <w:rFonts w:ascii="Times New Roman" w:hAnsi="Times New Roman"/>
          <w:b w:val="false"/>
          <w:i w:val="false"/>
          <w:color w:val="000000"/>
          <w:sz w:val="22"/>
        </w:rPr>
        <w:t>Applicants must present with the application an official transcript verifying completion of a master’s degree of 60 semester hours (or 80 quarter hours or equivalent) or a doctoral degree in marital and family therapy from a program accredited by the COAMFTE from a college or university accredited by an agency recognized by the United States Department of Education. Applicants who entered a program of study prior to July 1, 2010, must present with the application an official transcript verifying completion of a master’s degree of 45 semester hours or the equivalent;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891.5(2)</w:t>
      </w:r>
      <w:r>
        <w:rPr>
          <w:rFonts w:ascii="Times New Roman" w:hAnsi="Times New Roman"/>
          <w:b w:val="false"/>
          <w:i w:val="false"/>
          <w:color w:val="000000"/>
          <w:sz w:val="22"/>
        </w:rPr>
        <w:t> </w:t>
      </w:r>
      <w:r>
        <w:rPr>
          <w:rFonts w:ascii="Times New Roman" w:hAnsi="Times New Roman"/>
          <w:b w:val="false"/>
          <w:i/>
          <w:color w:val="000000"/>
          <w:sz w:val="22"/>
        </w:rPr>
        <w:t xml:space="preserve">Content-equivalent program. </w:t>
      </w:r>
      <w:r>
        <w:rPr>
          <w:rFonts w:ascii="Times New Roman" w:hAnsi="Times New Roman"/>
          <w:b w:val="false"/>
          <w:i w:val="false"/>
          <w:color w:val="000000"/>
          <w:sz w:val="22"/>
        </w:rPr>
        <w:t xml:space="preserve">Applicants must present an official transcript verifying completion of a master’s degree of 60 semester hours (or 80 quarter hours or equivalent) or a doctoral degree in marital and family therapy, behavioral science, or a counseling-related field from a college or university accredited by an agency recognized by the United States Department of Education, which is content-equivalent to a graduate degree in marital and family therapy. Applicants who entered a program of study prior to July 1, 2010, must present with the application an official transcript verifying completion of a master’s degree of 45 semester hours or the equivalent. Graduates from non-COAMFTE-accredited marital and family therapy programs shall provide an equivalency evaluation of the graduates’ educational credentials by the CCE, website </w:t>
      </w:r>
      <w:hyperlink r:id="rId14">
        <w:r>
          <w:rPr>
            <w:rStyle w:val="Hyperlink"/>
            <w:rFonts w:ascii="Times New Roman" w:hAnsi="Times New Roman"/>
            <w:b w:val="false"/>
            <w:i w:val="false"/>
            <w:color w:val="000000"/>
            <w:sz w:val="22"/>
            <w:u w:val="single"/>
          </w:rPr>
          <w:t>cce-global.org</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481—891.6</w:t>
      </w:r>
      <w:r>
        <w:rPr>
          <w:rFonts w:ascii="Times New Roman" w:hAnsi="Times New Roman"/>
          <w:b/>
          <w:i w:val="false"/>
          <w:color w:val="000000"/>
          <w:sz w:val="22"/>
        </w:rPr>
        <w:t xml:space="preserve">(154D) </w:t>
      </w:r>
      <w:r>
        <w:rPr>
          <w:rFonts w:ascii="Times New Roman" w:hAnsi="Times New Roman"/>
          <w:b/>
          <w:i w:val="false"/>
          <w:color w:val="000000"/>
          <w:sz w:val="22"/>
        </w:rPr>
        <w:t xml:space="preserve">Educational qualifications for mental health counselors. </w:t>
      </w:r>
      <w:r>
        <w:rPr>
          <w:rFonts w:ascii="Times New Roman" w:hAnsi="Times New Roman"/>
          <w:b w:val="false"/>
          <w:i w:val="false"/>
          <w:color w:val="000000"/>
          <w:sz w:val="22"/>
        </w:rPr>
        <w:t xml:space="preserve">The applicant must complete three semester credit hours, or equivalent quarter hours, of graduate level coursework in each of the content areas identified in subrule </w:t>
      </w:r>
      <w:r>
        <w:rPr>
          <w:rFonts w:ascii="Times New Roman" w:hAnsi="Times New Roman"/>
          <w:b w:val="false"/>
          <w:i w:val="false"/>
          <w:color w:val="000000"/>
          <w:sz w:val="22"/>
        </w:rPr>
        <w:t>891.6(2)</w:t>
      </w:r>
      <w:r>
        <w:rPr>
          <w:rFonts w:ascii="Times New Roman" w:hAnsi="Times New Roman"/>
          <w:b w:val="false"/>
          <w:i w:val="false"/>
          <w:color w:val="000000"/>
          <w:sz w:val="22"/>
        </w:rPr>
        <w:t>; no course may be used to fulfill more than one content area. The applicant must present proof of completion of the following educational requirements for licensure as a mental health counselor: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891.6(1)</w:t>
      </w:r>
      <w:r>
        <w:rPr>
          <w:rFonts w:ascii="Times New Roman" w:hAnsi="Times New Roman"/>
          <w:b w:val="false"/>
          <w:i w:val="false"/>
          <w:color w:val="000000"/>
          <w:sz w:val="22"/>
        </w:rPr>
        <w:t> </w:t>
      </w:r>
      <w:r>
        <w:rPr>
          <w:rFonts w:ascii="Times New Roman" w:hAnsi="Times New Roman"/>
          <w:b w:val="false"/>
          <w:i/>
          <w:color w:val="000000"/>
          <w:sz w:val="22"/>
        </w:rPr>
        <w:t xml:space="preserve">Accredited program. </w:t>
      </w:r>
      <w:r>
        <w:rPr>
          <w:rFonts w:ascii="Times New Roman" w:hAnsi="Times New Roman"/>
          <w:b w:val="false"/>
          <w:i w:val="false"/>
          <w:color w:val="000000"/>
          <w:sz w:val="22"/>
        </w:rPr>
        <w:t>Applicants must present with the application an official transcript verifying completion of a master’s degree of 60 semester hours (or equivalent quarter hours) or a doctoral degree in counseling with emphasis in mental health counseling from a mental health counseling program accredited by the CACREP from a college or university accredited by an agency recognized by the United States Department of Education. Applicants who entered a program of study prior to July 1, 2012, must present with the application an official transcript verifying completion of a master’s degree of 45 semester hours or the equivalent;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891.6(2)</w:t>
      </w:r>
      <w:r>
        <w:rPr>
          <w:rFonts w:ascii="Times New Roman" w:hAnsi="Times New Roman"/>
          <w:b w:val="false"/>
          <w:i w:val="false"/>
          <w:color w:val="000000"/>
          <w:sz w:val="22"/>
        </w:rPr>
        <w:t> </w:t>
      </w:r>
      <w:r>
        <w:rPr>
          <w:rFonts w:ascii="Times New Roman" w:hAnsi="Times New Roman"/>
          <w:b w:val="false"/>
          <w:i/>
          <w:color w:val="000000"/>
          <w:sz w:val="22"/>
        </w:rPr>
        <w:t xml:space="preserve">Content-equivalent program. </w:t>
      </w:r>
      <w:r>
        <w:rPr>
          <w:rFonts w:ascii="Times New Roman" w:hAnsi="Times New Roman"/>
          <w:b w:val="false"/>
          <w:i w:val="false"/>
          <w:color w:val="000000"/>
          <w:sz w:val="22"/>
        </w:rPr>
        <w:t xml:space="preserve">Applicants must present an official transcript verifying completion of a master’s degree or a doctoral degree from a college or university accredited by an agency recognized by the United States Department of Education that is content-equivalent to a master’s degree in counseling with emphasis in mental health counseling. Graduates from non-CACREP accredited mental health counseling programs shall provide an equivalency evaluation of their educational credentials by the CCE, website </w:t>
      </w:r>
      <w:hyperlink r:id="rId15">
        <w:r>
          <w:rPr>
            <w:rStyle w:val="Hyperlink"/>
            <w:rFonts w:ascii="Times New Roman" w:hAnsi="Times New Roman"/>
            <w:b w:val="false"/>
            <w:i w:val="false"/>
            <w:color w:val="000000"/>
            <w:sz w:val="22"/>
            <w:u w:val="single"/>
          </w:rPr>
          <w:t>cce-global.org</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891.6(3)</w:t>
      </w:r>
      <w:r>
        <w:rPr>
          <w:rFonts w:ascii="Times New Roman" w:hAnsi="Times New Roman"/>
          <w:b w:val="false"/>
          <w:i w:val="false"/>
          <w:color w:val="000000"/>
          <w:sz w:val="22"/>
        </w:rPr>
        <w:t> </w:t>
      </w:r>
      <w:r>
        <w:rPr>
          <w:rFonts w:ascii="Times New Roman" w:hAnsi="Times New Roman"/>
          <w:b w:val="false"/>
          <w:i/>
          <w:color w:val="000000"/>
          <w:sz w:val="22"/>
        </w:rPr>
        <w:t xml:space="preserve">Foreign-trained marital and family therapists or mental health counselors. </w:t>
      </w:r>
      <w:r>
        <w:rPr>
          <w:rFonts w:ascii="Times New Roman" w:hAnsi="Times New Roman"/>
          <w:b w:val="false"/>
          <w:i w:val="false"/>
          <w:color w:val="000000"/>
          <w:sz w:val="22"/>
        </w:rPr>
        <w:t>Foreign-trained marital and family therapists or mental health counselors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an equivalency evaluation of their educational credentials by the following: International Education Research Foundation, Inc., Credentials Evaluation Service, P.O. Box 3665, Culver City, CA 90231-3665; telephone 310.258.9451; website </w:t>
      </w:r>
      <w:hyperlink r:id="rId16">
        <w:r>
          <w:rPr>
            <w:rStyle w:val="Hyperlink"/>
            <w:rFonts w:ascii="Times New Roman" w:hAnsi="Times New Roman"/>
            <w:b w:val="false"/>
            <w:i w:val="false"/>
            <w:color w:val="000000"/>
            <w:sz w:val="22"/>
            <w:u w:val="single"/>
          </w:rPr>
          <w:t>www.ierf.org</w:t>
        </w:r>
      </w:hyperlink>
      <w:r>
        <w:rPr>
          <w:rFonts w:ascii="Times New Roman" w:hAnsi="Times New Roman"/>
          <w:b w:val="false"/>
          <w:i w:val="false"/>
          <w:color w:val="000000"/>
          <w:sz w:val="22"/>
        </w:rPr>
        <w:t xml:space="preserve"> or email at </w:t>
      </w:r>
      <w:hyperlink r:id="rId17">
        <w:r>
          <w:rPr>
            <w:rStyle w:val="Hyperlink"/>
            <w:rFonts w:ascii="Times New Roman" w:hAnsi="Times New Roman"/>
            <w:b w:val="false"/>
            <w:i w:val="false"/>
            <w:color w:val="000000"/>
            <w:sz w:val="22"/>
            <w:u w:val="single"/>
          </w:rPr>
          <w:t>info@ierf.org</w:t>
        </w:r>
      </w:hyperlink>
      <w:r>
        <w:rPr>
          <w:rFonts w:ascii="Times New Roman" w:hAnsi="Times New Roman"/>
          <w:b w:val="false"/>
          <w:i w:val="false"/>
          <w:color w:val="000000"/>
          <w:sz w:val="22"/>
        </w:rPr>
        <w:t>. A candidate shall bear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Receive a final determination from the board regarding the application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481—891.7</w:t>
      </w:r>
      <w:r>
        <w:rPr>
          <w:rFonts w:ascii="Times New Roman" w:hAnsi="Times New Roman"/>
          <w:b/>
          <w:i w:val="false"/>
          <w:color w:val="000000"/>
          <w:sz w:val="22"/>
        </w:rPr>
        <w:t xml:space="preserve">(154D) </w:t>
      </w:r>
      <w:r>
        <w:rPr>
          <w:rFonts w:ascii="Times New Roman" w:hAnsi="Times New Roman"/>
          <w:b/>
          <w:i w:val="false"/>
          <w:color w:val="000000"/>
          <w:sz w:val="22"/>
        </w:rPr>
        <w:t xml:space="preserve">Supervised clinical experience. </w:t>
      </w:r>
      <w:r>
        <w:rPr>
          <w:rFonts w:ascii="Times New Roman" w:hAnsi="Times New Roman"/>
          <w:b w:val="false"/>
          <w:i w:val="false"/>
          <w:color w:val="000000"/>
          <w:sz w:val="22"/>
        </w:rPr>
        <w:t>An applicant for licensure as a mental health counselor or marital and family therapist must complete a supervised clinical experience as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891.7(1)</w:t>
      </w:r>
      <w:r>
        <w:rPr>
          <w:rFonts w:ascii="Times New Roman" w:hAnsi="Times New Roman"/>
          <w:b w:val="false"/>
          <w:i w:val="false"/>
          <w:color w:val="000000"/>
          <w:sz w:val="22"/>
        </w:rPr>
        <w:t> </w:t>
      </w:r>
      <w:r>
        <w:rPr>
          <w:rFonts w:ascii="Times New Roman" w:hAnsi="Times New Roman"/>
          <w:b w:val="false"/>
          <w:i/>
          <w:color w:val="000000"/>
          <w:sz w:val="22"/>
        </w:rPr>
        <w:t xml:space="preserve">Minimum requirements. </w:t>
      </w:r>
      <w:r>
        <w:rPr>
          <w:rFonts w:ascii="Times New Roman" w:hAnsi="Times New Roman"/>
          <w:b w:val="false"/>
          <w:i w:val="false"/>
          <w:color w:val="000000"/>
          <w:sz w:val="22"/>
        </w:rPr>
        <w:t>The supervised clinical experience must satisfy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Timing. </w:t>
      </w:r>
      <w:r>
        <w:rPr>
          <w:rFonts w:ascii="Times New Roman" w:hAnsi="Times New Roman"/>
          <w:b w:val="false"/>
          <w:i w:val="false"/>
          <w:color w:val="000000"/>
          <w:sz w:val="22"/>
        </w:rPr>
        <w:t>The supervised clinical experience cannot begin until after all graduate coursework has been completed with the exception of the thesis.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The supervised clinical experience must be for a minimum of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hours. </w:t>
      </w:r>
      <w:r>
        <w:rPr>
          <w:rFonts w:ascii="Times New Roman" w:hAnsi="Times New Roman"/>
          <w:b w:val="false"/>
          <w:i w:val="false"/>
          <w:color w:val="000000"/>
          <w:sz w:val="22"/>
        </w:rPr>
        <w:t>The supervised clinical experience must consist of at least 3,000 hours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direct client hours. </w:t>
      </w:r>
      <w:r>
        <w:rPr>
          <w:rFonts w:ascii="Times New Roman" w:hAnsi="Times New Roman"/>
          <w:b w:val="false"/>
          <w:i w:val="false"/>
          <w:color w:val="000000"/>
          <w:sz w:val="22"/>
        </w:rPr>
        <w:t>The supervised clinical experience will consist of at least 1,500 hours of direct client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direct supervision hours. </w:t>
      </w:r>
      <w:r>
        <w:rPr>
          <w:rFonts w:ascii="Times New Roman" w:hAnsi="Times New Roman"/>
          <w:b w:val="false"/>
          <w:i w:val="false"/>
          <w:color w:val="000000"/>
          <w:sz w:val="22"/>
        </w:rPr>
        <w:t>The supervised clinical experience will consist of at least 110 hours of direct supervision equitably distributed throughout the supervised clinical experience, including at least 24 hours of live or recorded direct observation of client interaction. A maximum of 50 hours of direct supervision may be obtained through group supervision. Direct supervision can occur in person or by using videoconferencing. After 110 hours of direct supervision are complete, ongoing direct supervision will continue to occur for the remainder of the supervised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Number of supervisors. </w:t>
      </w:r>
      <w:r>
        <w:rPr>
          <w:rFonts w:ascii="Times New Roman" w:hAnsi="Times New Roman"/>
          <w:b w:val="false"/>
          <w:i w:val="false"/>
          <w:color w:val="000000"/>
          <w:sz w:val="22"/>
        </w:rPr>
        <w:t>A supervisee may utilize a maximum of four supervisors at any given time. A supervisee is responsible for notifying each supervisor if another supervisor is also being utilized to allow for coordination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Number of supervisees. </w:t>
      </w:r>
      <w:r>
        <w:rPr>
          <w:rFonts w:ascii="Times New Roman" w:hAnsi="Times New Roman"/>
          <w:b w:val="false"/>
          <w:i w:val="false"/>
          <w:color w:val="000000"/>
          <w:sz w:val="22"/>
        </w:rPr>
        <w:t>A supervisor will determine the number of supervisees who can be supervised safely and competently and will not exceed that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supervised clinical experience must involve performing psychosocial assessments, diagnostic practice using the current edition of the Diagnostic and Statistical Manual of Mental Disorders (DSM-5-TR) published March 2022, and providing treatment, including the establishment of treatment goals, psychosocial therapy using evidence-based therapeutic modalities, and differential treatment planning. The supervised clinical experience will prepare the supervisee for independent practice and must include training on practice management, ethical standards, legal and regulatory requirements, documentation, coordination of care, and self-care.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891.7(2)</w:t>
      </w:r>
      <w:r>
        <w:rPr>
          <w:rFonts w:ascii="Times New Roman" w:hAnsi="Times New Roman"/>
          <w:b w:val="false"/>
          <w:i w:val="false"/>
          <w:color w:val="000000"/>
          <w:sz w:val="22"/>
        </w:rPr>
        <w:t> </w:t>
      </w:r>
      <w:r>
        <w:rPr>
          <w:rFonts w:ascii="Times New Roman" w:hAnsi="Times New Roman"/>
          <w:b w:val="false"/>
          <w:i/>
          <w:color w:val="000000"/>
          <w:sz w:val="22"/>
        </w:rPr>
        <w:t xml:space="preserve">Eligible supervisors. </w:t>
      </w:r>
      <w:r>
        <w:rPr>
          <w:rFonts w:ascii="Times New Roman" w:hAnsi="Times New Roman"/>
          <w:b w:val="false"/>
          <w:i w:val="false"/>
          <w:color w:val="000000"/>
          <w:sz w:val="22"/>
        </w:rPr>
        <w:t>A supervisor must satisfy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an active license as an independent level social worker, mental health counselor, or marital and family therapist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minimum of three years of independent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completed at least a six-hour continuing education course in supervision or one graduate-level course in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knowledgeable of the applicable ethical code and licensing rules governing the supervisee.</w:t>
      </w:r>
    </w:p>
    <w:p>
      <w:pPr>
        <w:spacing w:before="0" w:after="0"/>
        <w:ind w:left="120"/>
        <w:jc w:val="both"/>
      </w:pPr>
      <w:r>
        <w:rPr>
          <w:rFonts w:ascii="Times New Roman" w:hAnsi="Times New Roman"/>
          <w:b w:val="false"/>
          <w:i w:val="false"/>
          <w:color w:val="000000"/>
          <w:sz w:val="22"/>
        </w:rPr>
        <w:t>Any request for a supervisor who does not meet these requirements must be approved by the board before supervision begins.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891.7(3)</w:t>
      </w:r>
      <w:r>
        <w:rPr>
          <w:rFonts w:ascii="Times New Roman" w:hAnsi="Times New Roman"/>
          <w:b w:val="false"/>
          <w:i w:val="false"/>
          <w:color w:val="000000"/>
          <w:sz w:val="22"/>
        </w:rPr>
        <w:t> </w:t>
      </w:r>
      <w:r>
        <w:rPr>
          <w:rFonts w:ascii="Times New Roman" w:hAnsi="Times New Roman"/>
          <w:b w:val="false"/>
          <w:i/>
          <w:color w:val="000000"/>
          <w:sz w:val="22"/>
        </w:rPr>
        <w:t xml:space="preserve">Supervision plan. </w:t>
      </w:r>
      <w:r>
        <w:rPr>
          <w:rFonts w:ascii="Times New Roman" w:hAnsi="Times New Roman"/>
          <w:b w:val="false"/>
          <w:i w:val="false"/>
          <w:color w:val="000000"/>
          <w:sz w:val="22"/>
        </w:rPr>
        <w:t>Prior to beginning supervision, the supervisee will submit a written supervision plan to the board using the current form published by the board. The supervisee will also submit a written supervision plan to the board prior to beginning supervision with a new supervisor.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891.7(4)</w:t>
      </w:r>
      <w:r>
        <w:rPr>
          <w:rFonts w:ascii="Times New Roman" w:hAnsi="Times New Roman"/>
          <w:b w:val="false"/>
          <w:i w:val="false"/>
          <w:color w:val="000000"/>
          <w:sz w:val="22"/>
        </w:rPr>
        <w:t> </w:t>
      </w:r>
      <w:r>
        <w:rPr>
          <w:rFonts w:ascii="Times New Roman" w:hAnsi="Times New Roman"/>
          <w:b w:val="false"/>
          <w:i/>
          <w:color w:val="000000"/>
          <w:sz w:val="22"/>
        </w:rPr>
        <w:t xml:space="preserve">Supervision report. </w:t>
      </w:r>
      <w:r>
        <w:rPr>
          <w:rFonts w:ascii="Times New Roman" w:hAnsi="Times New Roman"/>
          <w:b w:val="false"/>
          <w:i w:val="false"/>
          <w:color w:val="000000"/>
          <w:sz w:val="22"/>
        </w:rPr>
        <w:t>When supervision is complete, or when a supervisor ceases providing supervision to the supervisee, the supervisee will ensure a completed supervision report using the current form published by the board is submitted to the board. If the supervisor reports that the supervisee is not adequately prepared for independent licensure, or reports violations of the board’s rules or applicable ethical code, the board may require the supervisee to complete additional supervision or training as deemed appropriate prior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891.7(5)</w:t>
      </w:r>
      <w:r>
        <w:rPr>
          <w:rFonts w:ascii="Times New Roman" w:hAnsi="Times New Roman"/>
          <w:b w:val="false"/>
          <w:i w:val="false"/>
          <w:color w:val="000000"/>
          <w:sz w:val="22"/>
        </w:rPr>
        <w:t> </w:t>
      </w:r>
      <w:r>
        <w:rPr>
          <w:rFonts w:ascii="Times New Roman" w:hAnsi="Times New Roman"/>
          <w:b w:val="false"/>
          <w:i/>
          <w:color w:val="000000"/>
          <w:sz w:val="22"/>
        </w:rPr>
        <w:t xml:space="preserve">Supervised clinical experience in other states. </w:t>
      </w:r>
      <w:r>
        <w:rPr>
          <w:rFonts w:ascii="Times New Roman" w:hAnsi="Times New Roman"/>
          <w:b w:val="false"/>
          <w:i w:val="false"/>
          <w:color w:val="000000"/>
          <w:sz w:val="22"/>
        </w:rPr>
        <w:t>An applicant who completed some or all of the supervised clinical experience in another state without obtaining licensure in that state should contact the board to determine whether some or all of the supervised clinical experience that has been completed can be used to qualify for licensure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891.7(6)</w:t>
      </w:r>
      <w:r>
        <w:rPr>
          <w:rFonts w:ascii="Times New Roman" w:hAnsi="Times New Roman"/>
          <w:b w:val="false"/>
          <w:i w:val="false"/>
          <w:color w:val="000000"/>
          <w:sz w:val="22"/>
        </w:rPr>
        <w:t> </w:t>
      </w:r>
      <w:r>
        <w:rPr>
          <w:rFonts w:ascii="Times New Roman" w:hAnsi="Times New Roman"/>
          <w:b w:val="false"/>
          <w:i/>
          <w:color w:val="000000"/>
          <w:sz w:val="22"/>
        </w:rPr>
        <w:t xml:space="preserve">Grandfather clause. </w:t>
      </w:r>
      <w:r>
        <w:rPr>
          <w:rFonts w:ascii="Times New Roman" w:hAnsi="Times New Roman"/>
          <w:b w:val="false"/>
          <w:i w:val="false"/>
          <w:color w:val="000000"/>
          <w:sz w:val="22"/>
        </w:rPr>
        <w:t>Any new or additional requirements imposed by this rule do not apply to supervision that started prior to July 20, 2022.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481—891.8</w:t>
      </w:r>
      <w:r>
        <w:rPr>
          <w:rFonts w:ascii="Times New Roman" w:hAnsi="Times New Roman"/>
          <w:b/>
          <w:i w:val="false"/>
          <w:color w:val="000000"/>
          <w:sz w:val="22"/>
        </w:rPr>
        <w:t xml:space="preserve">(154D) </w:t>
      </w:r>
      <w:r>
        <w:rPr>
          <w:rFonts w:ascii="Times New Roman" w:hAnsi="Times New Roman"/>
          <w:b/>
          <w:i w:val="false"/>
          <w:color w:val="000000"/>
          <w:sz w:val="22"/>
        </w:rPr>
        <w:t xml:space="preserve">Licensure by endorsement for mental health counselors and marital and family therapists. </w:t>
      </w:r>
      <w:r>
        <w:rPr>
          <w:rFonts w:ascii="Times New Roman" w:hAnsi="Times New Roman"/>
          <w:b w:val="false"/>
          <w:i w:val="false"/>
          <w:color w:val="000000"/>
          <w:sz w:val="22"/>
        </w:rPr>
        <w:t>An applicant who has been a licensed marriage and family therapist or mental health counselor under the laws of another jurisdiction may file an application for licensure by endorsement with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891.8(1)</w:t>
      </w:r>
      <w:r>
        <w:rPr>
          <w:rFonts w:ascii="Times New Roman" w:hAnsi="Times New Roman"/>
          <w:b w:val="false"/>
          <w:i w:val="false"/>
          <w:color w:val="000000"/>
          <w:sz w:val="22"/>
        </w:rPr>
        <w:t> </w:t>
      </w:r>
      <w:r>
        <w:rPr>
          <w:rFonts w:ascii="Times New Roman" w:hAnsi="Times New Roman"/>
          <w:b w:val="false"/>
          <w:i w:val="false"/>
          <w:color w:val="000000"/>
          <w:sz w:val="22"/>
        </w:rPr>
        <w:t>The board may receive by endorsement any applicant from the District of Columbia or another state, territory, province or foreign country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requirements of rule </w:t>
      </w:r>
      <w:hyperlink r:id="rId18">
        <w:r>
          <w:rPr>
            <w:rStyle w:val="Hyperlink"/>
            <w:rFonts w:ascii="Times New Roman" w:hAnsi="Times New Roman"/>
            <w:b w:val="false"/>
            <w:i w:val="false"/>
            <w:color w:val="000000"/>
            <w:sz w:val="22"/>
          </w:rPr>
          <w:t>481—891.2</w:t>
        </w:r>
      </w:hyperlink>
      <w:r>
        <w:rPr>
          <w:rFonts w:ascii="Times New Roman" w:hAnsi="Times New Roman"/>
          <w:b w:val="false"/>
          <w:i w:val="false"/>
          <w:color w:val="000000"/>
          <w:sz w:val="22"/>
        </w:rPr>
        <w:t>(154D);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Provides verification of license from the jurisdiction in which the applicant has been most recently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891.8(2)</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meeting the requirements of subrules </w:t>
      </w:r>
      <w:r>
        <w:rPr>
          <w:rFonts w:ascii="Times New Roman" w:hAnsi="Times New Roman"/>
          <w:b w:val="false"/>
          <w:i w:val="false"/>
          <w:color w:val="000000"/>
          <w:sz w:val="22"/>
        </w:rPr>
        <w:t>891.2(4)</w:t>
      </w:r>
      <w:r>
        <w:rPr>
          <w:rFonts w:ascii="Times New Roman" w:hAnsi="Times New Roman"/>
          <w:b w:val="false"/>
          <w:i w:val="false"/>
          <w:color w:val="000000"/>
          <w:sz w:val="22"/>
        </w:rPr>
        <w:t xml:space="preserve"> and </w:t>
      </w:r>
      <w:r>
        <w:rPr>
          <w:rFonts w:ascii="Times New Roman" w:hAnsi="Times New Roman"/>
          <w:b w:val="false"/>
          <w:i w:val="false"/>
          <w:color w:val="000000"/>
          <w:sz w:val="22"/>
        </w:rPr>
        <w:t>891.2(5)</w:t>
      </w:r>
      <w:r>
        <w:rPr>
          <w:rFonts w:ascii="Times New Roman" w:hAnsi="Times New Roman"/>
          <w:b w:val="false"/>
          <w:i w:val="false"/>
          <w:color w:val="000000"/>
          <w:sz w:val="22"/>
        </w:rPr>
        <w:t>, applicants who meet the qualifications below may instead submit documentation demonstrating how each of the qualifications below is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possesses a master’s degree or higher in mental health counseling or marital and family therapy or an equivalent counseling-related field;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does not have any past or pending disciplinary action from any state licensing boards related to any mental health counseling or marital and family therapy license currently or previously held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891.8(3)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but who is unable to satisfy the requirements for licensure by endorsement may apply for licensure by verification, if eligible, in accordance with rule </w:t>
      </w:r>
      <w:hyperlink r:id="rId19">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481—891.9</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Licensure of behavior analysts and assistant behavior analysts.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submit a completed application for licensure and pay the nonrefundable licensure fee specified in rule </w:t>
      </w:r>
      <w:hyperlink r:id="rId20">
        <w:r>
          <w:rPr>
            <w:rStyle w:val="Hyperlink"/>
            <w:rFonts w:ascii="Times New Roman" w:hAnsi="Times New Roman"/>
            <w:b w:val="false"/>
            <w:i w:val="false"/>
            <w:color w:val="000000"/>
            <w:sz w:val="22"/>
          </w:rPr>
          <w:t>481—507.3</w:t>
        </w:r>
      </w:hyperlink>
      <w:r>
        <w:rPr>
          <w:rFonts w:ascii="Times New Roman" w:hAnsi="Times New Roman"/>
          <w:b w:val="false"/>
          <w:i w:val="false"/>
          <w:color w:val="000000"/>
          <w:sz w:val="22"/>
        </w:rPr>
        <w:t>(147,154D).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891.9(2)</w:t>
      </w:r>
      <w:r>
        <w:rPr>
          <w:rFonts w:ascii="Times New Roman" w:hAnsi="Times New Roman"/>
          <w:b w:val="false"/>
          <w:i w:val="false"/>
          <w:color w:val="000000"/>
          <w:sz w:val="22"/>
        </w:rPr>
        <w:t> </w:t>
      </w:r>
      <w:r>
        <w:rPr>
          <w:rFonts w:ascii="Times New Roman" w:hAnsi="Times New Roman"/>
          <w:b w:val="false"/>
          <w:i w:val="false"/>
          <w:color w:val="000000"/>
          <w:sz w:val="22"/>
        </w:rPr>
        <w:t>For licensure as a behavior analyst, the applicant shall submit proof of current BACB certification as a board-certified behavior analyst or board-certified behavior analyst-doctoral. For licensure as an assistant behavior analyst, the applicant shall submit proof of current BACB certification as a board-certified assistant behavior analyst.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481—891.10</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 renewal for mental health counselors and marriage and family therapists.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891.10(1)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marital and family therapy or mental health counseling shall begin on October 1 of an even-numbered year and end on September 30 of the next even-numbered year.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891.10(2)</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21">
        <w:r>
          <w:rPr>
            <w:rStyle w:val="Hyperlink"/>
            <w:rFonts w:ascii="Times New Roman" w:hAnsi="Times New Roman"/>
            <w:b w:val="false"/>
            <w:i w:val="false"/>
            <w:color w:val="000000"/>
            <w:sz w:val="22"/>
          </w:rPr>
          <w:t>481—892.2</w:t>
        </w:r>
      </w:hyperlink>
      <w:r>
        <w:rPr>
          <w:rFonts w:ascii="Times New Roman" w:hAnsi="Times New Roman"/>
          <w:b w:val="false"/>
          <w:i w:val="false"/>
          <w:color w:val="000000"/>
          <w:sz w:val="22"/>
        </w:rPr>
        <w:t>(272C).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An individual who was issued a license within six months of the license renewal date will not be required to renew the license until the next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891.10(3)</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in Iowa shall indicate on the renewal application completion of two hours of training in child abuse identification and reporting as required by Iowa Code section </w:t>
      </w:r>
      <w:hyperlink r:id="rId22">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23">
        <w:r>
          <w:rPr>
            <w:rStyle w:val="Hyperlink"/>
            <w:rFonts w:ascii="Times New Roman" w:hAnsi="Times New Roman"/>
            <w:b w:val="false"/>
            <w:i w:val="false"/>
            <w:color w:val="000000"/>
            <w:sz w:val="22"/>
          </w:rPr>
          <w:t>31.10(3)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course of employment, examines, attends, counsels or treats adults in Iowa shall indicate on the renewal application completion of two hours of training in dependent adult abuse identification and reporting as required by Iowa Code section </w:t>
      </w:r>
      <w:hyperlink r:id="rId24">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25">
        <w:r>
          <w:rPr>
            <w:rStyle w:val="Hyperlink"/>
            <w:rFonts w:ascii="Times New Roman" w:hAnsi="Times New Roman"/>
            <w:b w:val="false"/>
            <w:i w:val="false"/>
            <w:color w:val="000000"/>
            <w:sz w:val="22"/>
          </w:rPr>
          <w:t>31.10(3)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written documentation for five years after mandatory training as identified in paragraphs </w:t>
      </w:r>
      <w:hyperlink r:id="rId26">
        <w:r>
          <w:rPr>
            <w:rStyle w:val="Hyperlink"/>
            <w:rFonts w:ascii="Times New Roman" w:hAnsi="Times New Roman"/>
            <w:b w:val="false"/>
            <w:i w:val="false"/>
            <w:color w:val="000000"/>
            <w:sz w:val="22"/>
          </w:rPr>
          <w:t>31.10(3)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w:t>
      </w:r>
      <w:hyperlink r:id="rId27">
        <w:r>
          <w:rPr>
            <w:rStyle w:val="Hyperlink"/>
            <w:rFonts w:ascii="Times New Roman" w:hAnsi="Times New Roman"/>
            <w:b w:val="false"/>
            <w:i w:val="false"/>
            <w:color w:val="000000"/>
            <w:sz w:val="22"/>
          </w:rPr>
          <w:t>481—Chapter 500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hyperlink r:id="rId28">
        <w:r>
          <w:rPr>
            <w:rStyle w:val="Hyperlink"/>
            <w:rFonts w:ascii="Times New Roman" w:hAnsi="Times New Roman"/>
            <w:b w:val="false"/>
            <w:i w:val="false"/>
            <w:color w:val="000000"/>
            <w:sz w:val="22"/>
          </w:rPr>
          <w:t>31.10(3)</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891.10(4)</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891.10(5)</w:t>
      </w:r>
      <w:r>
        <w:rPr>
          <w:rFonts w:ascii="Times New Roman" w:hAnsi="Times New Roman"/>
          <w:b w:val="false"/>
          <w:i w:val="false"/>
          <w:color w:val="000000"/>
          <w:sz w:val="22"/>
        </w:rPr>
        <w:t> </w:t>
      </w:r>
      <w:r>
        <w:rPr>
          <w:rFonts w:ascii="Times New Roman" w:hAnsi="Times New Roman"/>
          <w:b w:val="false"/>
          <w:i w:val="false"/>
          <w:color w:val="000000"/>
          <w:sz w:val="22"/>
        </w:rPr>
        <w:t>A person licensed to practice as a marital and family therapist or mental health counselor shall keep the person’s license certificate and wallet card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891.10(6)</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late when the license has not been renewed by the expiration date on the wallet card. The licensee shall be assessed a late fee as specified in </w:t>
      </w:r>
      <w:hyperlink r:id="rId29">
        <w:r>
          <w:rPr>
            <w:rStyle w:val="Hyperlink"/>
            <w:rFonts w:ascii="Times New Roman" w:hAnsi="Times New Roman"/>
            <w:b w:val="false"/>
            <w:i w:val="false"/>
            <w:color w:val="000000"/>
            <w:sz w:val="22"/>
          </w:rPr>
          <w:t>481—subrule 507.3(3)</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891.10(7)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mental health counseling or marital and family therapy in Iowa until the license is reactivated. A licensee who practices mental health counseling or marital and family therapy in the state of Iowa with an inactive license may be subject to disciplinary action by the board, injunctive action pursuant to Iowa Code section </w:t>
      </w:r>
      <w:hyperlink r:id="rId30">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31">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481—891.11</w:t>
      </w:r>
      <w:r>
        <w:rPr>
          <w:rFonts w:ascii="Times New Roman" w:hAnsi="Times New Roman"/>
          <w:b/>
          <w:i w:val="false"/>
          <w:color w:val="000000"/>
          <w:sz w:val="22"/>
        </w:rPr>
        <w:t xml:space="preserve">(272C) </w:t>
      </w:r>
      <w:r>
        <w:rPr>
          <w:rFonts w:ascii="Times New Roman" w:hAnsi="Times New Roman"/>
          <w:b/>
          <w:i w:val="false"/>
          <w:color w:val="000000"/>
          <w:sz w:val="22"/>
        </w:rPr>
        <w:t xml:space="preserve">Initial licensing, reactivation, and license renewal for behavior analysts and assistant behavior analysts.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891.11(1)</w:t>
      </w:r>
      <w:r>
        <w:rPr>
          <w:rFonts w:ascii="Times New Roman" w:hAnsi="Times New Roman"/>
          <w:b w:val="false"/>
          <w:i w:val="false"/>
          <w:color w:val="000000"/>
          <w:sz w:val="22"/>
        </w:rPr>
        <w:t> </w:t>
      </w:r>
      <w:r>
        <w:rPr>
          <w:rFonts w:ascii="Times New Roman" w:hAnsi="Times New Roman"/>
          <w:b w:val="false"/>
          <w:i w:val="false"/>
          <w:color w:val="000000"/>
          <w:sz w:val="22"/>
        </w:rPr>
        <w:t>An initial license for a behavior analyst or assistant behavior analyst shall be issued with the same expiration date as the applicant’s current certification issued by BACB.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891.11(2)</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behavior analyst or assistant behavior analyst shall run concurrent with the licensee’s BACB certification. Each license renewed shall be given the expiration date that is on the licensee’s current BACB certification.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891.11(3)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Meet the continuing education requirements required by BACB to renew a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current certification as a board-certified behavior analyst, board-certified behavior analyst-doctoral, or board-certified assistant behavior analyst issued by BACB.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891.11(4)</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891.11(5)</w:t>
      </w:r>
      <w:r>
        <w:rPr>
          <w:rFonts w:ascii="Times New Roman" w:hAnsi="Times New Roman"/>
          <w:b w:val="false"/>
          <w:i w:val="false"/>
          <w:color w:val="000000"/>
          <w:sz w:val="22"/>
        </w:rPr>
        <w:t> </w:t>
      </w:r>
      <w:r>
        <w:rPr>
          <w:rFonts w:ascii="Times New Roman" w:hAnsi="Times New Roman"/>
          <w:b w:val="false"/>
          <w:i w:val="false"/>
          <w:color w:val="000000"/>
          <w:sz w:val="22"/>
        </w:rPr>
        <w:t>A person licensed as a behavior analyst or assistant behavior analyst shall keep the person’s license certificate and renewal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891.11(6)</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late when the license has not been renewed by the expiration date on the renewal. The licensee shall be assessed a late fee as specified in </w:t>
      </w:r>
      <w:hyperlink r:id="rId32">
        <w:r>
          <w:rPr>
            <w:rStyle w:val="Hyperlink"/>
            <w:rFonts w:ascii="Times New Roman" w:hAnsi="Times New Roman"/>
            <w:b w:val="false"/>
            <w:i w:val="false"/>
            <w:color w:val="000000"/>
            <w:sz w:val="22"/>
          </w:rPr>
          <w:t>481—subrule 507.3(5)</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891.11(7)</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engage in the practice of applied behavior analysis for which a license is required in Iowa until the license is reactivated. A licensee who practices applied behavior analysis in a capacity that requires licensure in the state of Iowa with an inactive license may be subject to disciplinary action by the board, injunctive action pursuant to Iowa Code section </w:t>
      </w:r>
      <w:hyperlink r:id="rId33">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34">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891.11(8)</w:t>
      </w:r>
      <w:r>
        <w:rPr>
          <w:rFonts w:ascii="Times New Roman" w:hAnsi="Times New Roman"/>
          <w:b w:val="false"/>
          <w:i w:val="false"/>
          <w:color w:val="000000"/>
          <w:sz w:val="22"/>
        </w:rPr>
        <w:t> </w:t>
      </w:r>
      <w:r>
        <w:rPr>
          <w:rFonts w:ascii="Times New Roman" w:hAnsi="Times New Roman"/>
          <w:b w:val="false"/>
          <w:i w:val="false"/>
          <w:color w:val="000000"/>
          <w:sz w:val="22"/>
        </w:rPr>
        <w:t xml:space="preserve">Reactivation. To apply for reactivation of an inactive license, a licensee shall submit a completed renewal application and proof of current certification and shall be assessed a reactivation fee as specified in </w:t>
      </w:r>
      <w:hyperlink r:id="rId35">
        <w:r>
          <w:rPr>
            <w:rStyle w:val="Hyperlink"/>
            <w:rFonts w:ascii="Times New Roman" w:hAnsi="Times New Roman"/>
            <w:b w:val="false"/>
            <w:i w:val="false"/>
            <w:color w:val="000000"/>
            <w:sz w:val="22"/>
          </w:rPr>
          <w:t>481—subrule 507.3(6)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481—891.12</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Licensee 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891.12(1)</w:t>
      </w:r>
      <w:r>
        <w:rPr>
          <w:rFonts w:ascii="Times New Roman" w:hAnsi="Times New Roman"/>
          <w:b w:val="false"/>
          <w:i w:val="false"/>
          <w:color w:val="000000"/>
          <w:sz w:val="22"/>
        </w:rPr>
        <w:t> </w:t>
      </w:r>
      <w:r>
        <w:rPr>
          <w:rFonts w:ascii="Times New Roman" w:hAnsi="Times New Roman"/>
          <w:b w:val="false"/>
          <w:i w:val="false"/>
          <w:color w:val="000000"/>
          <w:sz w:val="22"/>
        </w:rPr>
        <w:t>A licensee shall maintain sufficient, timely, and accurate documentation in client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891.12(2)</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“client” means the individual, couple, family, or group to whom a licensee provides direct clinical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891.12(3)</w:t>
      </w:r>
      <w:r>
        <w:rPr>
          <w:rFonts w:ascii="Times New Roman" w:hAnsi="Times New Roman"/>
          <w:b w:val="false"/>
          <w:i w:val="false"/>
          <w:color w:val="000000"/>
          <w:sz w:val="22"/>
        </w:rPr>
        <w:t> </w:t>
      </w:r>
      <w:r>
        <w:rPr>
          <w:rFonts w:ascii="Times New Roman" w:hAnsi="Times New Roman"/>
          <w:b w:val="false"/>
          <w:i w:val="false"/>
          <w:color w:val="000000"/>
          <w:sz w:val="22"/>
        </w:rPr>
        <w:t>A licensee’s records shall reflect the services provided, facilitate the delivery of services, and ensure continuity of services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891.12(4)</w:t>
      </w:r>
      <w:r>
        <w:rPr>
          <w:rFonts w:ascii="Times New Roman" w:hAnsi="Times New Roman"/>
          <w:b w:val="false"/>
          <w:i w:val="false"/>
          <w:color w:val="000000"/>
          <w:sz w:val="22"/>
        </w:rPr>
        <w:t> </w:t>
      </w:r>
      <w:r>
        <w:rPr>
          <w:rFonts w:ascii="Times New Roman" w:hAnsi="Times New Roman"/>
          <w:b w:val="false"/>
          <w:i w:val="false"/>
          <w:color w:val="000000"/>
          <w:sz w:val="22"/>
        </w:rPr>
        <w:t>Clinical services. A licensee who provides clinical services in any employment setting, including private practice,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Store records in accordance with state and federal statutes and regulations governing record retention and with the guidelines of the licensee’s employer or agency, if applicable. If no other legal provisions govern record retention, a licensee shall store all client records for a minimum of seven years after the date of the client’s discharge or death, or, in the case of a minor, for three years after the client reaches the age of majority under state law or seven years after the date of the client’s discharge or death,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timely records that include subjective and objective data, an assessment, a treatment plan, and any revisions to the assessment or plan made during the course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the client with reasonable access to records concerning the client. A licensee who is concerned that a client’s access to the client’s records could cause serious misunderstanding or harm to the client shall provide assistance in interpreting the records and consultation with the client regarding the records. A licensee may limit a client’s access to the client’s records, or portions of the records, only in exceptional circumstances when there is compelling evidence that such access would cause serious harm to the client. Both the client’s request for access and the licensee’s rationale for withholding some or all of a record shall be documented in the client’s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Take steps to protect the confidentiality of other individuals identified or discussed in any records to which a client is provided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891.12(5)</w:t>
      </w:r>
      <w:r>
        <w:rPr>
          <w:rFonts w:ascii="Times New Roman" w:hAnsi="Times New Roman"/>
          <w:b w:val="false"/>
          <w:i w:val="false"/>
          <w:color w:val="000000"/>
          <w:sz w:val="22"/>
        </w:rPr>
        <w:t> </w:t>
      </w:r>
      <w:r>
        <w:rPr>
          <w:rFonts w:ascii="Times New Roman" w:hAnsi="Times New Roman"/>
          <w:b w:val="false"/>
          <w:i w:val="false"/>
          <w:color w:val="000000"/>
          <w:sz w:val="22"/>
        </w:rPr>
        <w:t>Electronic recordkeeping. The requirements of this rule apply to electronic records as well as to records kept by any other means. When electronic records are kept, the licensee shall ensure that a duplicate hard-copy record or a backup, unalterable electronic record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891.12(6)</w:t>
      </w:r>
      <w:r>
        <w:rPr>
          <w:rFonts w:ascii="Times New Roman" w:hAnsi="Times New Roman"/>
          <w:b w:val="false"/>
          <w:i w:val="false"/>
          <w:color w:val="000000"/>
          <w:sz w:val="22"/>
        </w:rPr>
        <w:t> </w:t>
      </w:r>
      <w:r>
        <w:rPr>
          <w:rFonts w:ascii="Times New Roman" w:hAnsi="Times New Roman"/>
          <w:b w:val="false"/>
          <w:i w:val="false"/>
          <w:color w:val="000000"/>
          <w:sz w:val="22"/>
        </w:rPr>
        <w:t>Correction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Hard-copy records. Original notations shall be legible, written in ink, and contain no erasures or whiteouts. If incorrect information is placed in the original record, it must be crossed out with a single, nondeleting line and be initialed and dated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Electronic records. If a record is stored in an electronic format, the record may be amended with a signed addendum attached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891.12(7)</w:t>
      </w:r>
      <w:r>
        <w:rPr>
          <w:rFonts w:ascii="Times New Roman" w:hAnsi="Times New Roman"/>
          <w:b w:val="false"/>
          <w:i w:val="false"/>
          <w:color w:val="000000"/>
          <w:sz w:val="22"/>
        </w:rPr>
        <w:t> </w:t>
      </w:r>
      <w:r>
        <w:rPr>
          <w:rFonts w:ascii="Times New Roman" w:hAnsi="Times New Roman"/>
          <w:b w:val="false"/>
          <w:i w:val="false"/>
          <w:color w:val="000000"/>
          <w:sz w:val="22"/>
        </w:rPr>
        <w:t>Confidentiality and transfer of records. Marital and family therapists or mental health counselors shall preserve the confidentiality of client records in accordance with their respective rules of conduct and with federal and state law. Upon receipt of a written release or authorization signed by the client, the licensee shall furnish such therapy records, or copies of the records, as will be beneficial for the future treatment of that client. A fee may be charged for duplication of records, but a licensee may not refuse to transfer records for nonpayment of any fees. A written request may be required before transferring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891.12(8)</w:t>
      </w:r>
      <w:r>
        <w:rPr>
          <w:rFonts w:ascii="Times New Roman" w:hAnsi="Times New Roman"/>
          <w:b w:val="false"/>
          <w:i w:val="false"/>
          <w:color w:val="000000"/>
          <w:sz w:val="22"/>
        </w:rPr>
        <w:t> </w:t>
      </w:r>
      <w:r>
        <w:rPr>
          <w:rFonts w:ascii="Times New Roman" w:hAnsi="Times New Roman"/>
          <w:b w:val="false"/>
          <w:i w:val="false"/>
          <w:color w:val="000000"/>
          <w:sz w:val="22"/>
        </w:rPr>
        <w:t>Retirement, death or discontinuance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licensee is retiring or discontinuing practice and is the owner of a practice, the licensee shall notify in writing all active clients and, upon knowledge and agreement of the clients, shall make reasonable arrangements with those clients to transfer client records, or copies of those records, to the succeeding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a licensee’s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licensee’s employer or representative must ensure that all client records are transferred to another licensee or entity that is held to the same standards of confidentiality and agrees to act as custodian of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licensee’s employer or representative shall notify each active client that the client’s records will be transferred to another licensee or entity that will retain custody of the records and that, at the client’s written request, the records will be sent to the licensee or entity of the client’s choice.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891.12(9)</w:t>
      </w:r>
      <w:r>
        <w:rPr>
          <w:rFonts w:ascii="Times New Roman" w:hAnsi="Times New Roman"/>
          <w:b w:val="false"/>
          <w:i w:val="false"/>
          <w:color w:val="000000"/>
          <w:sz w:val="22"/>
        </w:rPr>
        <w:t> </w:t>
      </w:r>
      <w:r>
        <w:rPr>
          <w:rFonts w:ascii="Times New Roman" w:hAnsi="Times New Roman"/>
          <w:b w:val="false"/>
          <w:i w:val="false"/>
          <w:color w:val="000000"/>
          <w:sz w:val="22"/>
        </w:rPr>
        <w:t>Nothing stated in this rule shall prohibit a licensee from conveying or transferring the licensee’s client records to another licensed individual who is assuming a practice, provided that written notice is furnished to all clients.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481—891.13</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for mental health counselors and marital and family therapists.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891.13(1)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891.13(2)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w:t>
      </w:r>
      <w:hyperlink r:id="rId36">
        <w:r>
          <w:rPr>
            <w:rStyle w:val="Hyperlink"/>
            <w:rFonts w:ascii="Times New Roman" w:hAnsi="Times New Roman"/>
            <w:b w:val="false"/>
            <w:i w:val="false"/>
            <w:color w:val="000000"/>
            <w:sz w:val="22"/>
          </w:rPr>
          <w:t>481—Chapter 507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891.13(3)</w:t>
      </w:r>
      <w:r>
        <w:rPr>
          <w:rFonts w:ascii="Times New Roman" w:hAnsi="Times New Roman"/>
          <w:b w:val="false"/>
          <w:i w:val="false"/>
          <w:color w:val="000000"/>
          <w:sz w:val="22"/>
        </w:rPr>
        <w:t> </w:t>
      </w:r>
      <w:r>
        <w:rPr>
          <w:rFonts w:ascii="Times New Roman" w:hAnsi="Times New Roman"/>
          <w:b w:val="false"/>
          <w:i w:val="false"/>
          <w:color w:val="000000"/>
          <w:sz w:val="22"/>
        </w:rPr>
        <w:t>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Verification of license from the jurisdiction in which the applicant has been most recently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of a current active license in another jurisdiction at the time of application or verification of completion of continuing education taken within two years of the application. If the license has been inactive for less than five years, the applicant must submit verification of 40 hours of continuing education, and if the license has been inactive for more than five years, the applicant must submit verification of 80 hours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481—891.14</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37">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38">
        <w:r>
          <w:rPr>
            <w:rStyle w:val="Hyperlink"/>
            <w:rFonts w:ascii="Times New Roman" w:hAnsi="Times New Roman"/>
            <w:b w:val="false"/>
            <w:i w:val="false"/>
            <w:color w:val="000000"/>
            <w:sz w:val="22"/>
          </w:rPr>
          <w:t>481—891.13</w:t>
        </w:r>
      </w:hyperlink>
      <w:r>
        <w:rPr>
          <w:rFonts w:ascii="Times New Roman" w:hAnsi="Times New Roman"/>
          <w:b w:val="false"/>
          <w:i w:val="false"/>
          <w:color w:val="000000"/>
          <w:sz w:val="22"/>
        </w:rPr>
        <w:t xml:space="preserve">(17A,147,272C) or </w:t>
      </w:r>
      <w:hyperlink r:id="rId39">
        <w:r>
          <w:rPr>
            <w:rStyle w:val="Hyperlink"/>
            <w:rFonts w:ascii="Times New Roman" w:hAnsi="Times New Roman"/>
            <w:b w:val="false"/>
            <w:i w:val="false"/>
            <w:color w:val="000000"/>
            <w:sz w:val="22"/>
          </w:rPr>
          <w:t>subrule 891.11(8)</w:t>
        </w:r>
      </w:hyperlink>
      <w:r>
        <w:rPr>
          <w:rFonts w:ascii="Times New Roman" w:hAnsi="Times New Roman"/>
          <w:b w:val="false"/>
          <w:i w:val="false"/>
          <w:color w:val="000000"/>
          <w:sz w:val="22"/>
        </w:rPr>
        <w:t xml:space="preserve"> prior to practicing mental health counseling, marital and family therapy, or applied behavior analysis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481—891.15</w:t>
      </w:r>
      <w:r>
        <w:rPr>
          <w:rFonts w:ascii="Times New Roman" w:hAnsi="Times New Roman"/>
          <w:b/>
          <w:i w:val="false"/>
          <w:color w:val="000000"/>
          <w:sz w:val="22"/>
        </w:rPr>
        <w:t xml:space="preserve">(154D) </w:t>
      </w:r>
      <w:r>
        <w:rPr>
          <w:rFonts w:ascii="Times New Roman" w:hAnsi="Times New Roman"/>
          <w:b/>
          <w:i w:val="false"/>
          <w:color w:val="000000"/>
          <w:sz w:val="22"/>
        </w:rPr>
        <w:t xml:space="preserve">Marital and family therapy and mental health counselor services subject to regulation. </w:t>
      </w:r>
      <w:r>
        <w:rPr>
          <w:rFonts w:ascii="Times New Roman" w:hAnsi="Times New Roman"/>
          <w:b w:val="false"/>
          <w:i w:val="false"/>
          <w:color w:val="000000"/>
          <w:sz w:val="22"/>
        </w:rPr>
        <w:t>Marital and family therapy and mental health counselor services provided to an individual in this state through telephonic, electronic or other means, regardless of the location of the marital and family therapy and mental health counselor, shall constitute the practice of marital and family therapy and mental health counseling and shall be subject to regulation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481—891.16</w:t>
      </w:r>
      <w:r>
        <w:rPr>
          <w:rFonts w:ascii="Times New Roman" w:hAnsi="Times New Roman"/>
          <w:b/>
          <w:i w:val="false"/>
          <w:color w:val="000000"/>
          <w:sz w:val="22"/>
        </w:rPr>
        <w:t xml:space="preserve">(154D) </w:t>
      </w:r>
      <w:r>
        <w:rPr>
          <w:rFonts w:ascii="Times New Roman" w:hAnsi="Times New Roman"/>
          <w:b/>
          <w:i w:val="false"/>
          <w:color w:val="000000"/>
          <w:sz w:val="22"/>
        </w:rPr>
        <w:t xml:space="preserve">Temporary licensees. </w:t>
      </w:r>
      <w:r>
        <w:rPr>
          <w:rFonts w:ascii="Times New Roman" w:hAnsi="Times New Roman"/>
          <w:b w:val="false"/>
          <w:i w:val="false"/>
          <w:color w:val="000000"/>
          <w:sz w:val="22"/>
        </w:rPr>
        <w:t>A temporary licensee shall engage only in the practice of marital and family therapy or mental health counseling as part of an agency or group practice with oversight over the temporary licensee. The agency or group practice shall have at least one independently licensed mental health provider. A temporary licensee shall not practice as a solo practitioner or solely with other temporary licensees.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6/5/92, Notice 4/15/92—published 6/24/92, effective 7/29/92]</w:t>
      </w:r>
    </w:p>
    <w:p>
      <w:pPr>
        <w:spacing w:before="0" w:after="0"/>
        <w:ind w:left="120"/>
        <w:jc w:val="center"/>
      </w:pPr>
      <w:r>
        <w:rPr>
          <w:rFonts w:ascii="Times New Roman" w:hAnsi="Times New Roman"/>
          <w:b w:val="false"/>
          <w:i w:val="false"/>
          <w:color w:val="000000"/>
          <w:sz w:val="21"/>
        </w:rPr>
        <w:t>[Filed emergency 7/31/92—published 8/19/92, effective 7/31/92]</w:t>
      </w:r>
    </w:p>
    <w:p>
      <w:pPr>
        <w:spacing w:before="0" w:after="0"/>
        <w:ind w:left="120"/>
        <w:jc w:val="center"/>
      </w:pPr>
      <w:r>
        <w:rPr>
          <w:rFonts w:ascii="Times New Roman" w:hAnsi="Times New Roman"/>
          <w:b w:val="false"/>
          <w:i w:val="false"/>
          <w:color w:val="000000"/>
          <w:sz w:val="21"/>
        </w:rPr>
        <w:t>[Filed 11/17/94, Notice 9/14/94—published 12/7/94, effective 1/11/95]</w:t>
      </w:r>
    </w:p>
    <w:p>
      <w:pPr>
        <w:spacing w:before="0" w:after="0"/>
        <w:ind w:left="120"/>
        <w:jc w:val="center"/>
      </w:pPr>
      <w:r>
        <w:rPr>
          <w:rFonts w:ascii="Times New Roman" w:hAnsi="Times New Roman"/>
          <w:b w:val="false"/>
          <w:i w:val="false"/>
          <w:color w:val="000000"/>
          <w:sz w:val="21"/>
        </w:rPr>
        <w:t>[Filed 5/2/97, Notice 3/12/97—published 5/21/97, effective 6/25/97]</w:t>
      </w:r>
    </w:p>
    <w:p>
      <w:pPr>
        <w:spacing w:before="0" w:after="0"/>
        <w:ind w:left="120"/>
        <w:jc w:val="center"/>
      </w:pPr>
      <w:r>
        <w:rPr>
          <w:rFonts w:ascii="Times New Roman" w:hAnsi="Times New Roman"/>
          <w:b w:val="false"/>
          <w:i w:val="false"/>
          <w:color w:val="000000"/>
          <w:sz w:val="21"/>
        </w:rPr>
        <w:t>[Filed 5/16/97, Notice 4/9/97—published 6/4/97, effective 7/9/97]</w:t>
      </w:r>
    </w:p>
    <w:p>
      <w:pPr>
        <w:spacing w:before="0" w:after="0"/>
        <w:ind w:left="120"/>
        <w:jc w:val="center"/>
      </w:pPr>
      <w:r>
        <w:rPr>
          <w:rFonts w:ascii="Times New Roman" w:hAnsi="Times New Roman"/>
          <w:b w:val="false"/>
          <w:i w:val="false"/>
          <w:color w:val="000000"/>
          <w:sz w:val="21"/>
        </w:rPr>
        <w:t>[Filed 8/21/98, Notice 7/15/98—published 9/9/98, effective 10/14/98]</w:t>
      </w:r>
    </w:p>
    <w:p>
      <w:pPr>
        <w:spacing w:before="0" w:after="0"/>
        <w:ind w:left="120"/>
        <w:jc w:val="center"/>
      </w:pPr>
      <w:r>
        <w:rPr>
          <w:rFonts w:ascii="Times New Roman" w:hAnsi="Times New Roman"/>
          <w:b w:val="false"/>
          <w:i w:val="false"/>
          <w:color w:val="000000"/>
          <w:sz w:val="21"/>
        </w:rPr>
        <w:t>[Filed 4/2/99, Notice 2/10/99—published 4/21/99, effective 5/26/99]</w:t>
      </w:r>
    </w:p>
    <w:p>
      <w:pPr>
        <w:spacing w:before="0" w:after="0"/>
        <w:ind w:left="120"/>
        <w:jc w:val="center"/>
      </w:pPr>
      <w:r>
        <w:rPr>
          <w:rFonts w:ascii="Times New Roman" w:hAnsi="Times New Roman"/>
          <w:b w:val="false"/>
          <w:i w:val="false"/>
          <w:color w:val="000000"/>
          <w:sz w:val="21"/>
        </w:rPr>
        <w:t>[Filed 2/1/01, Notice 10/18/00—published 2/21/01, effective 3/28/01]</w:t>
      </w:r>
    </w:p>
    <w:p>
      <w:pPr>
        <w:spacing w:before="0" w:after="0"/>
        <w:ind w:left="120"/>
        <w:jc w:val="center"/>
      </w:pPr>
      <w:r>
        <w:rPr>
          <w:rFonts w:ascii="Times New Roman" w:hAnsi="Times New Roman"/>
          <w:b w:val="false"/>
          <w:i w:val="false"/>
          <w:color w:val="000000"/>
          <w:sz w:val="21"/>
        </w:rPr>
        <w:t>[Filed 12/6/01, Notice 10/3/01—published 12/26/01, effective 1/30/02]</w:t>
      </w:r>
    </w:p>
    <w:p>
      <w:pPr>
        <w:spacing w:before="0" w:after="0"/>
        <w:ind w:left="120"/>
        <w:jc w:val="center"/>
      </w:pPr>
      <w:r>
        <w:rPr>
          <w:rFonts w:ascii="Times New Roman" w:hAnsi="Times New Roman"/>
          <w:b w:val="false"/>
          <w:i w:val="false"/>
          <w:color w:val="000000"/>
          <w:sz w:val="21"/>
        </w:rPr>
        <w:t>[Filed 3/29/02, Notice 2/20/02—published 4/17/02, effective 5/22/02]</w:t>
      </w:r>
    </w:p>
    <w:p>
      <w:pPr>
        <w:spacing w:before="0" w:after="0"/>
        <w:ind w:left="120"/>
        <w:jc w:val="center"/>
      </w:pPr>
      <w:r>
        <w:rPr>
          <w:rFonts w:ascii="Times New Roman" w:hAnsi="Times New Roman"/>
          <w:b w:val="false"/>
          <w:i w:val="false"/>
          <w:color w:val="000000"/>
          <w:sz w:val="21"/>
        </w:rPr>
        <w:t>[Filed 9/26/02, Notice 7/24/02—published 10/16/02, effective 11/20/02]</w:t>
      </w:r>
    </w:p>
    <w:p>
      <w:pPr>
        <w:spacing w:before="0" w:after="0"/>
        <w:ind w:left="120"/>
        <w:jc w:val="center"/>
      </w:pPr>
      <w:r>
        <w:rPr>
          <w:rFonts w:ascii="Times New Roman" w:hAnsi="Times New Roman"/>
          <w:b w:val="false"/>
          <w:i w:val="false"/>
          <w:color w:val="000000"/>
          <w:sz w:val="21"/>
        </w:rPr>
        <w:t>[Filed 12/12/03, Notice 10/15/03—published 1/7/04, effective 2/11/04]</w:t>
      </w:r>
    </w:p>
    <w:p>
      <w:pPr>
        <w:spacing w:before="0" w:after="0"/>
        <w:ind w:left="120"/>
        <w:jc w:val="center"/>
      </w:pPr>
      <w:r>
        <w:rPr>
          <w:rFonts w:ascii="Times New Roman" w:hAnsi="Times New Roman"/>
          <w:b w:val="false"/>
          <w:i w:val="false"/>
          <w:color w:val="000000"/>
          <w:sz w:val="21"/>
        </w:rPr>
        <w:t>[Filed 6/15/05, Notice 4/13/05—published 7/6/05, effective 8/10/05]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12/9/05, Notice 10/12/05—published 1/4/06, effective 2/8/06]</w:t>
      </w:r>
    </w:p>
    <w:p>
      <w:pPr>
        <w:spacing w:before="0" w:after="0"/>
        <w:ind w:left="120"/>
        <w:jc w:val="center"/>
      </w:pPr>
      <w:r>
        <w:rPr>
          <w:rFonts w:ascii="Times New Roman" w:hAnsi="Times New Roman"/>
          <w:b w:val="false"/>
          <w:i w:val="false"/>
          <w:color w:val="000000"/>
          <w:sz w:val="21"/>
        </w:rPr>
        <w:t>[Filed 2/10/06, Notice 1/4/06—published 3/1/06, effective 4/5/06]</w:t>
      </w:r>
    </w:p>
    <w:p>
      <w:pPr>
        <w:spacing w:before="0" w:after="0"/>
        <w:ind w:left="120"/>
        <w:jc w:val="center"/>
      </w:pPr>
      <w:r>
        <w:rPr>
          <w:rFonts w:ascii="Times New Roman" w:hAnsi="Times New Roman"/>
          <w:b w:val="false"/>
          <w:i w:val="false"/>
          <w:color w:val="000000"/>
          <w:sz w:val="21"/>
        </w:rPr>
        <w:t>[Filed 2/15/07, Notice 12/6/06—published 3/14/07, effective 4/18/07]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2/25/09]</w:t>
      </w:r>
    </w:p>
    <w:p>
      <w:pPr>
        <w:spacing w:before="0" w:after="0"/>
        <w:ind w:left="120"/>
        <w:jc w:val="center"/>
      </w:pPr>
      <w:r>
        <w:rPr>
          <w:rFonts w:ascii="Times New Roman" w:hAnsi="Times New Roman"/>
          <w:b w:val="false"/>
          <w:i w:val="false"/>
          <w:color w:val="000000"/>
          <w:sz w:val="21"/>
        </w:rPr>
        <w:t>[Filed Emergency ARC 7673B, IAB 4/8/09, effective 4/30/09]</w:t>
      </w:r>
    </w:p>
    <w:p>
      <w:pPr>
        <w:spacing w:before="0" w:after="0"/>
        <w:ind w:left="120"/>
        <w:jc w:val="center"/>
      </w:pPr>
      <w:r>
        <w:rPr>
          <w:rFonts w:ascii="Times New Roman" w:hAnsi="Times New Roman"/>
          <w:b w:val="false"/>
          <w:i w:val="false"/>
          <w:color w:val="000000"/>
          <w:sz w:val="21"/>
        </w:rPr>
        <w:t>[Filed ARC 8152B</w:t>
      </w:r>
      <w:r>
        <w:rPr>
          <w:rFonts w:ascii="Times New Roman" w:hAnsi="Times New Roman"/>
          <w:b w:val="false"/>
          <w:i w:val="false"/>
          <w:color w:val="000000"/>
          <w:sz w:val="21"/>
        </w:rPr>
        <w:t xml:space="preserve"> (Notice ARC 7858B, IAB 6/17/09)</w:t>
      </w:r>
      <w:r>
        <w:rPr>
          <w:rFonts w:ascii="Times New Roman" w:hAnsi="Times New Roman"/>
          <w:b w:val="false"/>
          <w:i w:val="false"/>
          <w:color w:val="000000"/>
          <w:sz w:val="21"/>
        </w:rPr>
        <w:t>, IAB 9/23/09, effective 10/28/09]</w:t>
      </w:r>
    </w:p>
    <w:p>
      <w:pPr>
        <w:spacing w:before="0" w:after="0"/>
        <w:ind w:left="120"/>
        <w:jc w:val="center"/>
      </w:pPr>
      <w:r>
        <w:rPr>
          <w:rFonts w:ascii="Times New Roman" w:hAnsi="Times New Roman"/>
          <w:b w:val="false"/>
          <w:i w:val="false"/>
          <w:color w:val="000000"/>
          <w:sz w:val="21"/>
        </w:rPr>
        <w:t>[Filed ARC 9547B</w:t>
      </w:r>
      <w:r>
        <w:rPr>
          <w:rFonts w:ascii="Times New Roman" w:hAnsi="Times New Roman"/>
          <w:b w:val="false"/>
          <w:i w:val="false"/>
          <w:color w:val="000000"/>
          <w:sz w:val="21"/>
        </w:rPr>
        <w:t xml:space="preserve"> (Notice ARC 9416B, IAB 3/9/11)</w:t>
      </w:r>
      <w:r>
        <w:rPr>
          <w:rFonts w:ascii="Times New Roman" w:hAnsi="Times New Roman"/>
          <w:b w:val="false"/>
          <w:i w:val="false"/>
          <w:color w:val="000000"/>
          <w:sz w:val="21"/>
        </w:rPr>
        <w:t>, IAB 6/1/11, effective 7/6/11]</w:t>
      </w:r>
    </w:p>
    <w:p>
      <w:pPr>
        <w:spacing w:before="0" w:after="0"/>
        <w:ind w:left="120"/>
        <w:jc w:val="center"/>
      </w:pPr>
      <w:r>
        <w:rPr>
          <w:rFonts w:ascii="Times New Roman" w:hAnsi="Times New Roman"/>
          <w:b w:val="false"/>
          <w:i w:val="false"/>
          <w:color w:val="000000"/>
          <w:sz w:val="21"/>
        </w:rPr>
        <w:t>[Filed ARC 0777C</w:t>
      </w:r>
      <w:r>
        <w:rPr>
          <w:rFonts w:ascii="Times New Roman" w:hAnsi="Times New Roman"/>
          <w:b w:val="false"/>
          <w:i w:val="false"/>
          <w:color w:val="000000"/>
          <w:sz w:val="21"/>
        </w:rPr>
        <w:t xml:space="preserve"> (Notice ARC 0679C, IAB 4/3/13)</w:t>
      </w:r>
      <w:r>
        <w:rPr>
          <w:rFonts w:ascii="Times New Roman" w:hAnsi="Times New Roman"/>
          <w:b w:val="false"/>
          <w:i w:val="false"/>
          <w:color w:val="000000"/>
          <w:sz w:val="21"/>
        </w:rPr>
        <w:t>, IAB 6/12/13, effective 7/17/13]</w:t>
      </w:r>
    </w:p>
    <w:p>
      <w:pPr>
        <w:spacing w:before="0" w:after="0"/>
        <w:ind w:left="120"/>
        <w:jc w:val="center"/>
      </w:pPr>
      <w:r>
        <w:rPr>
          <w:rFonts w:ascii="Times New Roman" w:hAnsi="Times New Roman"/>
          <w:b w:val="false"/>
          <w:i w:val="false"/>
          <w:color w:val="000000"/>
          <w:sz w:val="21"/>
        </w:rPr>
        <w:t>[Filed ARC 1758C</w:t>
      </w:r>
      <w:r>
        <w:rPr>
          <w:rFonts w:ascii="Times New Roman" w:hAnsi="Times New Roman"/>
          <w:b w:val="false"/>
          <w:i w:val="false"/>
          <w:color w:val="000000"/>
          <w:sz w:val="21"/>
        </w:rPr>
        <w:t xml:space="preserve"> (Notice ARC 1558C, IAB 7/23/14)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2845C</w:t>
      </w:r>
      <w:r>
        <w:rPr>
          <w:rFonts w:ascii="Times New Roman" w:hAnsi="Times New Roman"/>
          <w:b w:val="false"/>
          <w:i w:val="false"/>
          <w:color w:val="000000"/>
          <w:sz w:val="21"/>
        </w:rPr>
        <w:t xml:space="preserve"> (Notice ARC 2738C, IAB 9/28/16)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Emergency ARC 4390C, IAB 4/10/19, effective 3/22/19]</w:t>
      </w:r>
    </w:p>
    <w:p>
      <w:pPr>
        <w:spacing w:before="0" w:after="0"/>
        <w:ind w:left="120"/>
        <w:jc w:val="center"/>
      </w:pPr>
      <w:r>
        <w:rPr>
          <w:rFonts w:ascii="Times New Roman" w:hAnsi="Times New Roman"/>
          <w:b w:val="false"/>
          <w:i w:val="false"/>
          <w:color w:val="000000"/>
          <w:sz w:val="21"/>
        </w:rPr>
        <w:t>[Filed ARC 4557C</w:t>
      </w:r>
      <w:r>
        <w:rPr>
          <w:rFonts w:ascii="Times New Roman" w:hAnsi="Times New Roman"/>
          <w:b w:val="false"/>
          <w:i w:val="false"/>
          <w:color w:val="000000"/>
          <w:sz w:val="21"/>
        </w:rPr>
        <w:t xml:space="preserve"> (Notice ARC 4389C, IAB 4/10/19)</w:t>
      </w:r>
      <w:r>
        <w:rPr>
          <w:rFonts w:ascii="Times New Roman" w:hAnsi="Times New Roman"/>
          <w:b w:val="false"/>
          <w:i w:val="false"/>
          <w:color w:val="000000"/>
          <w:sz w:val="21"/>
        </w:rPr>
        <w:t>, IAB 7/17/19, effective 8/21/19]</w:t>
      </w:r>
    </w:p>
    <w:p>
      <w:pPr>
        <w:spacing w:before="0" w:after="0"/>
        <w:ind w:left="120"/>
        <w:jc w:val="center"/>
      </w:pPr>
      <w:r>
        <w:rPr>
          <w:rFonts w:ascii="Times New Roman" w:hAnsi="Times New Roman"/>
          <w:b w:val="false"/>
          <w:i w:val="false"/>
          <w:color w:val="000000"/>
          <w:sz w:val="21"/>
        </w:rPr>
        <w:t>[Filed ARC 5010C</w:t>
      </w:r>
      <w:r>
        <w:rPr>
          <w:rFonts w:ascii="Times New Roman" w:hAnsi="Times New Roman"/>
          <w:b w:val="false"/>
          <w:i w:val="false"/>
          <w:color w:val="000000"/>
          <w:sz w:val="21"/>
        </w:rPr>
        <w:t xml:space="preserve"> (Notice ARC 4745C, IAB 11/6/19)</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5767C</w:t>
      </w:r>
      <w:r>
        <w:rPr>
          <w:rFonts w:ascii="Times New Roman" w:hAnsi="Times New Roman"/>
          <w:b w:val="false"/>
          <w:i w:val="false"/>
          <w:color w:val="000000"/>
          <w:sz w:val="21"/>
        </w:rPr>
        <w:t xml:space="preserve"> (Notice ARC 5442C,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Emergency ARC 5795C, IAB 7/28/21, effective 6/30/21]</w:t>
      </w:r>
    </w:p>
    <w:p>
      <w:pPr>
        <w:spacing w:before="0" w:after="0"/>
        <w:ind w:left="120"/>
        <w:jc w:val="center"/>
      </w:pPr>
      <w:r>
        <w:rPr>
          <w:rFonts w:ascii="Times New Roman" w:hAnsi="Times New Roman"/>
          <w:b w:val="false"/>
          <w:i w:val="false"/>
          <w:color w:val="000000"/>
          <w:sz w:val="21"/>
        </w:rPr>
        <w:t>[Filed ARC 6131C</w:t>
      </w:r>
      <w:r>
        <w:rPr>
          <w:rFonts w:ascii="Times New Roman" w:hAnsi="Times New Roman"/>
          <w:b w:val="false"/>
          <w:i w:val="false"/>
          <w:color w:val="000000"/>
          <w:sz w:val="21"/>
        </w:rPr>
        <w:t xml:space="preserve"> (Notice ARC 5794C, IAB 7/28/21)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6357C</w:t>
      </w:r>
      <w:r>
        <w:rPr>
          <w:rFonts w:ascii="Times New Roman" w:hAnsi="Times New Roman"/>
          <w:b w:val="false"/>
          <w:i w:val="false"/>
          <w:color w:val="000000"/>
          <w:sz w:val="21"/>
        </w:rPr>
        <w:t xml:space="preserve"> (Notice ARC 6142C, IAB 1/12/22)</w:t>
      </w:r>
      <w:r>
        <w:rPr>
          <w:rFonts w:ascii="Times New Roman" w:hAnsi="Times New Roman"/>
          <w:b w:val="false"/>
          <w:i w:val="false"/>
          <w:color w:val="000000"/>
          <w:sz w:val="21"/>
        </w:rPr>
        <w:t>, IAB 6/15/22, effective 7/20/22]</w:t>
      </w:r>
    </w:p>
    <w:p>
      <w:pPr>
        <w:spacing w:before="0" w:after="0"/>
        <w:ind w:left="120"/>
        <w:jc w:val="center"/>
      </w:pPr>
      <w:r>
        <w:rPr>
          <w:rFonts w:ascii="Times New Roman" w:hAnsi="Times New Roman"/>
          <w:b w:val="false"/>
          <w:i w:val="false"/>
          <w:color w:val="000000"/>
          <w:sz w:val="21"/>
        </w:rPr>
        <w:t>[Filed ARC 6997C</w:t>
      </w:r>
      <w:r>
        <w:rPr>
          <w:rFonts w:ascii="Times New Roman" w:hAnsi="Times New Roman"/>
          <w:b w:val="false"/>
          <w:i w:val="false"/>
          <w:color w:val="000000"/>
          <w:sz w:val="21"/>
        </w:rPr>
        <w:t xml:space="preserve"> (Notice ARC 6651C,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7917C</w:t>
      </w:r>
      <w:r>
        <w:rPr>
          <w:rFonts w:ascii="Times New Roman" w:hAnsi="Times New Roman"/>
          <w:b w:val="false"/>
          <w:i w:val="false"/>
          <w:color w:val="000000"/>
          <w:sz w:val="21"/>
        </w:rPr>
        <w:t xml:space="preserve"> (Notice ARC 7293C, IAB 1/24/24)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February 18, 2009, effective date of amendments to 645—31.4(154D) to 645—31.8(154D), </w:t>
      </w:r>
      <w:r>
        <w:rPr>
          <w:rFonts w:ascii="Times New Roman" w:hAnsi="Times New Roman"/>
          <w:b/>
          <w:i w:val="false"/>
          <w:color w:val="000000"/>
          <w:sz w:val="22"/>
        </w:rPr>
        <w:t>ARC 7476B</w:t>
      </w:r>
      <w:r>
        <w:rPr>
          <w:rFonts w:ascii="Times New Roman" w:hAnsi="Times New Roman"/>
          <w:b w:val="false"/>
          <w:i w:val="false"/>
          <w:color w:val="000000"/>
          <w:sz w:val="22"/>
        </w:rPr>
        <w:t>, Items 5 to 9, delayed 70 days by the Administrative Rules Review Committee at its meeting held February 6, 2009.</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891.13.pdf" Type="http://schemas.openxmlformats.org/officeDocument/2006/relationships/hyperlink" Id="rId4"/>
    <Relationship TargetMode="External" Target="https://www.legis.iowa.gov/docs/iac/rule/481.506.31.pdf" Type="http://schemas.openxmlformats.org/officeDocument/2006/relationships/hyperlink" Id="rId5"/>
    <Relationship TargetMode="External" Target="https://www.legis.iowa.gov/docs/iac/rule/481.507.3.pdf" Type="http://schemas.openxmlformats.org/officeDocument/2006/relationships/hyperlink" Id="rId6"/>
    <Relationship TargetMode="External" Target="https://www.legis.iowa.gov/docs/iac/rule/481.891.5.pdf" Type="http://schemas.openxmlformats.org/officeDocument/2006/relationships/hyperlink" Id="rId7"/>
    <Relationship TargetMode="External" Target="https://www.legis.iowa.gov/docs/iac/rule/481.891.5.pdf" Type="http://schemas.openxmlformats.org/officeDocument/2006/relationships/hyperlink" Id="rId8"/>
    <Relationship TargetMode="External" Target="https://www.legis.iowa.gov/docs/iac/rule/481.891.6.pdf" Type="http://schemas.openxmlformats.org/officeDocument/2006/relationships/hyperlink" Id="rId9"/>
    <Relationship TargetMode="External" Target="https://www.legis.iowa.gov/docs/iac/rule/481.891.6.pdf" Type="http://schemas.openxmlformats.org/officeDocument/2006/relationships/hyperlink" Id="rId10"/>
    <Relationship TargetMode="External" Target="https://www.legis.iowa.gov/docs/iac/rule/481.891.3.pdf" Type="http://schemas.openxmlformats.org/officeDocument/2006/relationships/hyperlink" Id="rId11"/>
    <Relationship TargetMode="External" Target="https://www.legis.iowa.gov/docs/iac/rule/481.891.7.pdf" Type="http://schemas.openxmlformats.org/officeDocument/2006/relationships/hyperlink" Id="rId12"/>
    <Relationship TargetMode="External" Target="https://www.legis.iowa.gov/docs/iac/rule/481.507.3.pdf" Type="http://schemas.openxmlformats.org/officeDocument/2006/relationships/hyperlink" Id="rId13"/>
    <Relationship TargetMode="External" Target="http://cce-global.org" Type="http://schemas.openxmlformats.org/officeDocument/2006/relationships/hyperlink" Id="rId14"/>
    <Relationship TargetMode="External" Target="http://cce-global.org" Type="http://schemas.openxmlformats.org/officeDocument/2006/relationships/hyperlink" Id="rId15"/>
    <Relationship TargetMode="External" Target="http://www.ierf.org" Type="http://schemas.openxmlformats.org/officeDocument/2006/relationships/hyperlink" Id="rId16"/>
    <Relationship TargetMode="External" Target="mailto:info@ierf.org" Type="http://schemas.openxmlformats.org/officeDocument/2006/relationships/hyperlink" Id="rId17"/>
    <Relationship TargetMode="External" Target="https://www.legis.iowa.gov/docs/iac/rule/481.891.2.pdf" Type="http://schemas.openxmlformats.org/officeDocument/2006/relationships/hyperlink" Id="rId18"/>
    <Relationship TargetMode="External" Target="https://www.legis.iowa.gov/docs/iac/rule/481.501.1.pdf" Type="http://schemas.openxmlformats.org/officeDocument/2006/relationships/hyperlink" Id="rId19"/>
    <Relationship TargetMode="External" Target="https://www.legis.iowa.gov/docs/iac/rule/481.507.3.pdf" Type="http://schemas.openxmlformats.org/officeDocument/2006/relationships/hyperlink" Id="rId20"/>
    <Relationship TargetMode="External" Target="https://www.legis.iowa.gov/docs/iac/rule/481.892.2.pdf" Type="http://schemas.openxmlformats.org/officeDocument/2006/relationships/hyperlink" Id="rId21"/>
    <Relationship TargetMode="External" Target="https://www.legis.iowa.gov/docs/ico/chapter/232.pdf" Type="http://schemas.openxmlformats.org/officeDocument/2006/relationships/hyperlink" Id="rId22"/>
    <Relationship TargetMode="External" Target="https://www.legis.iowa.gov/docs/iac/rule/645.31.10.pdf" Type="http://schemas.openxmlformats.org/officeDocument/2006/relationships/hyperlink" Id="rId23"/>
    <Relationship TargetMode="External" Target="https://www.legis.iowa.gov/docs/ico/chapter/235B.pdf" Type="http://schemas.openxmlformats.org/officeDocument/2006/relationships/hyperlink" Id="rId24"/>
    <Relationship TargetMode="External" Target="https://www.legis.iowa.gov/docs/iac/rule/645.31.10.pdf" Type="http://schemas.openxmlformats.org/officeDocument/2006/relationships/hyperlink" Id="rId25"/>
    <Relationship TargetMode="External" Target="https://www.legis.iowa.gov/docs/iac/rule/645.31.10.pdf" Type="http://schemas.openxmlformats.org/officeDocument/2006/relationships/hyperlink" Id="rId26"/>
    <Relationship TargetMode="External" Target="https://www.legis.iowa.gov/docs/iac/chapter/481.500.pdf" Type="http://schemas.openxmlformats.org/officeDocument/2006/relationships/hyperlink" Id="rId27"/>
    <Relationship TargetMode="External" Target="https://www.legis.iowa.gov/docs/iac/rule/645.31.10.pdf" Type="http://schemas.openxmlformats.org/officeDocument/2006/relationships/hyperlink" Id="rId28"/>
    <Relationship TargetMode="External" Target="https://www.legis.iowa.gov/docs/iac/rule/481.507.3.pdf" Type="http://schemas.openxmlformats.org/officeDocument/2006/relationships/hyperlink" Id="rId29"/>
    <Relationship TargetMode="External" Target="https://www.legis.iowa.gov/docs/ico/chapter/147.pdf" Type="http://schemas.openxmlformats.org/officeDocument/2006/relationships/hyperlink" Id="rId30"/>
    <Relationship TargetMode="External" Target="https://www.legis.iowa.gov/docs/ico/chapter/147.pdf" Type="http://schemas.openxmlformats.org/officeDocument/2006/relationships/hyperlink" Id="rId31"/>
    <Relationship TargetMode="External" Target="https://www.legis.iowa.gov/docs/iac/rule/481.507.3.pdf" Type="http://schemas.openxmlformats.org/officeDocument/2006/relationships/hyperlink" Id="rId32"/>
    <Relationship TargetMode="External" Target="https://www.legis.iowa.gov/docs/ico/chapter/147.pdf" Type="http://schemas.openxmlformats.org/officeDocument/2006/relationships/hyperlink" Id="rId33"/>
    <Relationship TargetMode="External" Target="https://www.legis.iowa.gov/docs/ico/chapter/147.pdf" Type="http://schemas.openxmlformats.org/officeDocument/2006/relationships/hyperlink" Id="rId34"/>
    <Relationship TargetMode="External" Target="https://www.legis.iowa.gov/docs/iac/rule/481.507.3.pdf" Type="http://schemas.openxmlformats.org/officeDocument/2006/relationships/hyperlink" Id="rId35"/>
    <Relationship TargetMode="External" Target="https://www.legis.iowa.gov/docs/iac/chapter/481.507.pdf" Type="http://schemas.openxmlformats.org/officeDocument/2006/relationships/hyperlink" Id="rId36"/>
    <Relationship TargetMode="External" Target="https://www.legis.iowa.gov/docs/iac/rule/481.506.31.pdf" Type="http://schemas.openxmlformats.org/officeDocument/2006/relationships/hyperlink" Id="rId37"/>
    <Relationship TargetMode="External" Target="https://www.legis.iowa.gov/docs/iac/rule/481.891.13.pdf" Type="http://schemas.openxmlformats.org/officeDocument/2006/relationships/hyperlink" Id="rId38"/>
    <Relationship TargetMode="External" Target="https://www.legis.iowa.gov/docs/iac/rule/645.31.11.pdf" Type="http://schemas.openxmlformats.org/officeDocument/2006/relationships/hyperlink" Id="rId39"/>
    <Relationship TargetMode="External" Target="https://www.legis.iowa.gov/docs/ico/chapter/17A.pdf" Type="http://schemas.openxmlformats.org/officeDocument/2006/relationships/hyperlink" Id="rId40"/>
    <Relationship TargetMode="External" Target="https://www.legis.iowa.gov/docs/ico/chapter/147.pdf" Type="http://schemas.openxmlformats.org/officeDocument/2006/relationships/hyperlink" Id="rId41"/>
    <Relationship TargetMode="External" Target="https://www.legis.iowa.gov/docs/ico/chapter/154D.pdf" Type="http://schemas.openxmlformats.org/officeDocument/2006/relationships/hyperlink" Id="rId42"/>
    <Relationship TargetMode="External" Target="https://www.legis.iowa.gov/docs/ico/chapter/272C.pdf" Type="http://schemas.openxmlformats.org/officeDocument/2006/relationships/hyperlink" Id="rId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