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886</w:t>
      </w:r>
    </w:p>
    <w:p>
      <w:pPr>
        <w:spacing w:before="0" w:after="0"/>
        <w:ind w:left="120"/>
        <w:jc w:val="center"/>
      </w:pPr>
      <w:r>
        <w:rPr>
          <w:rFonts w:ascii="Times New Roman" w:hAnsi="Times New Roman"/>
          <w:b w:val="false"/>
          <w:i w:val="false"/>
          <w:color w:val="000000"/>
          <w:sz w:val="21"/>
        </w:rPr>
        <w:t>CONTINUING EDUCATION FOR PSYCHOLOGISTS</w:t>
      </w:r>
    </w:p>
    <w:p>
      <w:pPr>
        <w:spacing w:before="0" w:after="0"/>
        <w:ind w:left="120"/>
        <w:jc w:val="center"/>
      </w:pPr>
      <w:r>
        <w:rPr>
          <w:rFonts w:ascii="Times New Roman" w:hAnsi="Times New Roman"/>
          <w:b w:val="false"/>
          <w:i w:val="false"/>
          <w:color w:val="000000"/>
          <w:sz w:val="14"/>
        </w:rPr>
        <w:t>[Prior to 9/18/24, see Professional Licensure Division[645] Ch 241]</w:t>
      </w:r>
    </w:p>
    <w:p>
      <w:pPr>
        <w:spacing w:before="0" w:after="0"/>
        <w:ind w:left="120"/>
        <w:jc w:val="both"/>
      </w:pPr>
      <w:r>
        <w:rPr>
          <w:rFonts w:ascii="Times New Roman" w:hAnsi="Times New Roman"/>
          <w:b/>
          <w:i w:val="false"/>
          <w:color w:val="000000"/>
          <w:sz w:val="22"/>
        </w:rPr>
        <w:t>481—886.1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independently as a psychologist in the state of Iowa and does not include persons with provisional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of psychology” </w:t>
      </w:r>
      <w:r>
        <w:rPr>
          <w:rFonts w:ascii="Times New Roman" w:hAnsi="Times New Roman"/>
          <w:b w:val="false"/>
          <w:i w:val="false"/>
          <w:color w:val="000000"/>
          <w:sz w:val="22"/>
        </w:rPr>
        <w:t>means the application of established principles of learning, motivation, perception, thinking, psychophysiology and emotional relations to problems, behavior, group relations, and biobehavior by persons trained in psychology for compensation or other personal gain. The application of principles includes, but is not limited to, counseling and the use of psychological remedial measures with persons, in groups or individually, with adjustment or emotional problems in the areas of work, family, school and personal relationships. The practice of psychology also means measuring and testing personality, mood-motivation, intelligence/aptitudes, attitudes/public opinion, and skills; the teaching of such subject matter; and the conducting of research on the problems relating to human behavior.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481—886.2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shall extend for a two-year period beginning on July 1 of even-numbered years and ending on June 30 of even-numbered years. Each biennium, each person who is licensed to practice as a licensee in this state shall be required to complete a minimum of 40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 The new licensee will need to complete a minimum of 40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will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shall be carried over into the next biennium except as stated for the second renewal.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886.2(6)</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are required to renew a provisional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481—886.3</w:t>
      </w:r>
      <w:r>
        <w:rPr>
          <w:rFonts w:ascii="Times New Roman" w:hAnsi="Times New Roman"/>
          <w:b/>
          <w:i w:val="false"/>
          <w:color w:val="000000"/>
          <w:sz w:val="22"/>
        </w:rPr>
        <w:t xml:space="preserve">(154B,272C)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second license renewal, licensees shall obtain six hours of continuing education pertaining to the practice of psychology in either of the following areas: Iowa mental health laws and regulations, or risk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renewal periods following the second license renewal, licensees shall obtain six hours of continuing education pertaining to the practice of psychology in any of the following areas: ethical issues, federal mental health laws and regulations, Iowa mental health laws and regulations, or risk management. For all board members, a maximum of two of these hours may be obtained by providing service as a member of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hour of credit for attendance and participation at a minimum of three regular quarterly board meetings during the license biennium,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hours of credit for attendance and participation at a minimum of six regular quarterly board meetings during the license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may obtain the remainder of continuing education hours of credit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Completing training to comply with mandatory reporter training requirements, as specified in </w:t>
      </w:r>
      <w:hyperlink r:id="rId4">
        <w:r>
          <w:rPr>
            <w:rStyle w:val="Hyperlink"/>
            <w:rFonts w:ascii="Times New Roman" w:hAnsi="Times New Roman"/>
            <w:b w:val="false"/>
            <w:i w:val="false"/>
            <w:color w:val="000000"/>
            <w:sz w:val="22"/>
          </w:rPr>
          <w:t>481—subrule 885.13(4)</w:t>
        </w:r>
      </w:hyperlink>
      <w:r>
        <w:rPr>
          <w:rFonts w:ascii="Times New Roman" w:hAnsi="Times New Roman"/>
          <w:b w:val="false"/>
          <w:i w:val="false"/>
          <w:color w:val="000000"/>
          <w:sz w:val="22"/>
        </w:rPr>
        <w:t>. Hours reported for credit shall not exceed the hours required to maintain compliance with required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Attending programs/activities that are sponsored by the American Psychological Association or the Iowa Psychological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Attending workshops, conferences, or symposiums that meet the criteria in subrule </w:t>
      </w:r>
      <w:r>
        <w:rPr>
          <w:rFonts w:ascii="Times New Roman" w:hAnsi="Times New Roman"/>
          <w:b w:val="false"/>
          <w:i w:val="false"/>
          <w:color w:val="000000"/>
          <w:sz w:val="22"/>
        </w:rPr>
        <w:t>886.3(1)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coursework that meets the criteria set forth in these rules. Continuing education credit equivalents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Completing home study courses for which a certificate of completion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Completing electronically transmitted courses for which a certificate of completion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Conducting scholarly research, the results of which are published in a recognized professional publication. In order to claim such credit, the licensee must attest to the hours actually spent conducting research, demonstrate that the research is integrally related to the practice of psychology, explain how the research advances the licensee’s knowledge in the field, and provide the published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Preparing new courses on material that is integrally related to the practice of psychology and is beyond entry level. In order to claim such credit, the licensee must: attest that the licensee has not taught the course in the past or that the licensee has not substantially altered the course content; request a specific amount of continuing education credit; describe how the course is integrally related to the practice of the profession and advances the licensee’s knowledge in the field; and supply a course syllabus that supports the licensee’s request for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Presenting to other professionals. A licensee may receive credit on a one-time basis for presenting continuing education programs that meet the criteria of subrule </w:t>
      </w:r>
      <w:r>
        <w:rPr>
          <w:rFonts w:ascii="Times New Roman" w:hAnsi="Times New Roman"/>
          <w:b w:val="false"/>
          <w:i w:val="false"/>
          <w:color w:val="000000"/>
          <w:sz w:val="22"/>
        </w:rPr>
        <w:t>886.3(1)</w:t>
      </w:r>
      <w:r>
        <w:rPr>
          <w:rFonts w:ascii="Times New Roman" w:hAnsi="Times New Roman"/>
          <w:b w:val="false"/>
          <w:i w:val="false"/>
          <w:color w:val="000000"/>
          <w:sz w:val="22"/>
        </w:rPr>
        <w:t>. Two hours of credit will be awarded for each hour of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combined maximum of 30 hours of credit per biennium may be used for scholarly research, preparation of new courses, and presentations to other professionals.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9/1/00, Notice 7/12/00—published 9/20/00, effective 10/25/00]</w:t>
      </w:r>
    </w:p>
    <w:p>
      <w:pPr>
        <w:spacing w:before="0" w:after="0"/>
        <w:ind w:left="120"/>
        <w:jc w:val="center"/>
      </w:pPr>
      <w:r>
        <w:rPr>
          <w:rFonts w:ascii="Times New Roman" w:hAnsi="Times New Roman"/>
          <w:b w:val="false"/>
          <w:i w:val="false"/>
          <w:color w:val="000000"/>
          <w:sz w:val="21"/>
        </w:rPr>
        <w:t>[Filed 6/21/01, Notice 3/7/01—published 7/11/01, effective 8/15/01]</w:t>
      </w:r>
    </w:p>
    <w:p>
      <w:pPr>
        <w:spacing w:before="0" w:after="0"/>
        <w:ind w:left="120"/>
        <w:jc w:val="center"/>
      </w:pPr>
      <w:r>
        <w:rPr>
          <w:rFonts w:ascii="Times New Roman" w:hAnsi="Times New Roman"/>
          <w:b w:val="false"/>
          <w:i w:val="false"/>
          <w:color w:val="000000"/>
          <w:sz w:val="21"/>
        </w:rPr>
        <w:t>[Filed 8/5/05, Notice 6/8/05—published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1029C</w:t>
      </w:r>
      <w:r>
        <w:rPr>
          <w:rFonts w:ascii="Times New Roman" w:hAnsi="Times New Roman"/>
          <w:b w:val="false"/>
          <w:i w:val="false"/>
          <w:color w:val="000000"/>
          <w:sz w:val="21"/>
        </w:rPr>
        <w:t xml:space="preserve"> (Notice ARC 0834C, IAB 7/10/13)</w:t>
      </w:r>
      <w:r>
        <w:rPr>
          <w:rFonts w:ascii="Times New Roman" w:hAnsi="Times New Roman"/>
          <w:b w:val="false"/>
          <w:i w:val="false"/>
          <w:color w:val="000000"/>
          <w:sz w:val="21"/>
        </w:rPr>
        <w:t>, IAB 9/18/13, effective 10/23/13]</w:t>
      </w:r>
    </w:p>
    <w:p>
      <w:pPr>
        <w:spacing w:before="0" w:after="0"/>
        <w:ind w:left="120"/>
        <w:jc w:val="center"/>
      </w:pPr>
      <w:r>
        <w:rPr>
          <w:rFonts w:ascii="Times New Roman" w:hAnsi="Times New Roman"/>
          <w:b w:val="false"/>
          <w:i w:val="false"/>
          <w:color w:val="000000"/>
          <w:sz w:val="21"/>
        </w:rPr>
        <w:t>[Filed ARC 1834C</w:t>
      </w:r>
      <w:r>
        <w:rPr>
          <w:rFonts w:ascii="Times New Roman" w:hAnsi="Times New Roman"/>
          <w:b w:val="false"/>
          <w:i w:val="false"/>
          <w:color w:val="000000"/>
          <w:sz w:val="21"/>
        </w:rPr>
        <w:t xml:space="preserve"> (Notice ARC 1730C, IAB 11/12/14)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6938C</w:t>
      </w:r>
      <w:r>
        <w:rPr>
          <w:rFonts w:ascii="Times New Roman" w:hAnsi="Times New Roman"/>
          <w:b w:val="false"/>
          <w:i w:val="false"/>
          <w:color w:val="000000"/>
          <w:sz w:val="21"/>
        </w:rPr>
        <w:t xml:space="preserve"> (Notice ARC 6769C, IAB 12/28/22)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9/1/00, Notice 7/12/00—published 9/20/00, effective 10/25/00]</w:t>
      </w:r>
    </w:p>
    <w:p>
      <w:pPr>
        <w:spacing w:before="0" w:after="0"/>
        <w:ind w:left="120"/>
        <w:jc w:val="center"/>
      </w:pPr>
      <w:r>
        <w:rPr>
          <w:rFonts w:ascii="Times New Roman" w:hAnsi="Times New Roman"/>
          <w:b w:val="false"/>
          <w:i w:val="false"/>
          <w:color w:val="000000"/>
          <w:sz w:val="21"/>
        </w:rPr>
        <w:t>[Filed 6/21/01, Notice 3/7/01—published 7/11/01, effective 8/15/01]</w:t>
      </w:r>
    </w:p>
    <w:p>
      <w:pPr>
        <w:spacing w:before="0" w:after="0"/>
        <w:ind w:left="120"/>
        <w:jc w:val="center"/>
      </w:pPr>
      <w:r>
        <w:rPr>
          <w:rFonts w:ascii="Times New Roman" w:hAnsi="Times New Roman"/>
          <w:b w:val="false"/>
          <w:i w:val="false"/>
          <w:color w:val="000000"/>
          <w:sz w:val="21"/>
        </w:rPr>
        <w:t>[Filed 8/5/05, Notice 6/8/05—published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1029C</w:t>
      </w:r>
      <w:r>
        <w:rPr>
          <w:rFonts w:ascii="Times New Roman" w:hAnsi="Times New Roman"/>
          <w:b w:val="false"/>
          <w:i w:val="false"/>
          <w:color w:val="000000"/>
          <w:sz w:val="21"/>
        </w:rPr>
        <w:t xml:space="preserve"> (Notice ARC 0834C, IAB 7/10/13)</w:t>
      </w:r>
      <w:r>
        <w:rPr>
          <w:rFonts w:ascii="Times New Roman" w:hAnsi="Times New Roman"/>
          <w:b w:val="false"/>
          <w:i w:val="false"/>
          <w:color w:val="000000"/>
          <w:sz w:val="21"/>
        </w:rPr>
        <w:t>, IAB 9/18/13, effective 10/23/13]</w:t>
      </w:r>
    </w:p>
    <w:p>
      <w:pPr>
        <w:spacing w:before="0" w:after="0"/>
        <w:ind w:left="120"/>
        <w:jc w:val="center"/>
      </w:pPr>
      <w:r>
        <w:rPr>
          <w:rFonts w:ascii="Times New Roman" w:hAnsi="Times New Roman"/>
          <w:b w:val="false"/>
          <w:i w:val="false"/>
          <w:color w:val="000000"/>
          <w:sz w:val="21"/>
        </w:rPr>
        <w:t>[Filed ARC 1834C</w:t>
      </w:r>
      <w:r>
        <w:rPr>
          <w:rFonts w:ascii="Times New Roman" w:hAnsi="Times New Roman"/>
          <w:b w:val="false"/>
          <w:i w:val="false"/>
          <w:color w:val="000000"/>
          <w:sz w:val="21"/>
        </w:rPr>
        <w:t xml:space="preserve"> (Notice ARC 1730C, IAB 11/12/14)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6938C</w:t>
      </w:r>
      <w:r>
        <w:rPr>
          <w:rFonts w:ascii="Times New Roman" w:hAnsi="Times New Roman"/>
          <w:b w:val="false"/>
          <w:i w:val="false"/>
          <w:color w:val="000000"/>
          <w:sz w:val="21"/>
        </w:rPr>
        <w:t xml:space="preserve"> (Notice ARC 6769C, IAB 12/28/22)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7822C</w:t>
      </w:r>
      <w:r>
        <w:rPr>
          <w:rFonts w:ascii="Times New Roman" w:hAnsi="Times New Roman"/>
          <w:b w:val="false"/>
          <w:i w:val="false"/>
          <w:color w:val="000000"/>
          <w:sz w:val="21"/>
        </w:rPr>
        <w:t xml:space="preserve"> (Notice ARC 7289C,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885.13.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154B.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