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PSYCHOLOGY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885</w:t>
      </w:r>
    </w:p>
    <w:p>
      <w:pPr>
        <w:spacing w:before="0" w:after="0"/>
        <w:ind w:left="120"/>
        <w:jc w:val="center"/>
      </w:pPr>
      <w:r>
        <w:rPr>
          <w:rFonts w:ascii="Times New Roman" w:hAnsi="Times New Roman"/>
          <w:b w:val="false"/>
          <w:i w:val="false"/>
          <w:color w:val="000000"/>
          <w:sz w:val="21"/>
        </w:rPr>
        <w:t>LICENSURE OF PSYCHOLOGISTS</w:t>
      </w:r>
    </w:p>
    <w:p>
      <w:pPr>
        <w:spacing w:before="0" w:after="0"/>
        <w:ind w:left="120"/>
        <w:jc w:val="center"/>
      </w:pPr>
      <w:r>
        <w:rPr>
          <w:rFonts w:ascii="Times New Roman" w:hAnsi="Times New Roman"/>
          <w:b w:val="false"/>
          <w:i w:val="false"/>
          <w:color w:val="000000"/>
          <w:sz w:val="14"/>
        </w:rPr>
        <w:t>[Prior to 9/18/24, see Professional Licensure Division[645] Ch 240]</w:t>
      </w:r>
    </w:p>
    <w:p>
      <w:pPr>
        <w:spacing w:before="0" w:after="0"/>
        <w:ind w:left="120"/>
        <w:jc w:val="both"/>
      </w:pPr>
      <w:r>
        <w:rPr>
          <w:rFonts w:ascii="Times New Roman" w:hAnsi="Times New Roman"/>
          <w:b/>
          <w:i w:val="false"/>
          <w:color w:val="000000"/>
          <w:sz w:val="22"/>
        </w:rPr>
        <w:t>481—885.1</w:t>
      </w:r>
      <w:r>
        <w:rPr>
          <w:rFonts w:ascii="Times New Roman" w:hAnsi="Times New Roman"/>
          <w:b/>
          <w:i w:val="false"/>
          <w:color w:val="000000"/>
          <w:sz w:val="22"/>
        </w:rPr>
        <w:t xml:space="preserve">(154B)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 xml:space="preserve">means a license that is current and has not expired.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“ASPPB” </w:t>
      </w:r>
      <w:r>
        <w:rPr>
          <w:rFonts w:ascii="Times New Roman" w:hAnsi="Times New Roman"/>
          <w:b w:val="false"/>
          <w:i w:val="false"/>
          <w:color w:val="000000"/>
          <w:sz w:val="22"/>
        </w:rPr>
        <w:t>means the Association of State and Provincial Psychology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health service provider in psychology” </w:t>
      </w:r>
      <w:r>
        <w:rPr>
          <w:rFonts w:ascii="Times New Roman" w:hAnsi="Times New Roman"/>
          <w:b w:val="false"/>
          <w:i w:val="false"/>
          <w:color w:val="000000"/>
          <w:sz w:val="22"/>
        </w:rPr>
        <w:t>means a person who works in a clinical setting, who is licensed to practice psychology and who has a doctoral degree in psychology. A person certified as a health service provider in psychology shall be deemed qualified to diagnose or evaluate mental illness and nervous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means the provision of health services in psychology by the applicant to individuals or groups of clients/patients. Clinical experience does not include teaching or research performed in an academic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psychologist or health service provider in psychology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June 30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psychology to an applicant who is or has been licensed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training” </w:t>
      </w:r>
      <w:r>
        <w:rPr>
          <w:rFonts w:ascii="Times New Roman" w:hAnsi="Times New Roman"/>
          <w:b w:val="false"/>
          <w:i w:val="false"/>
          <w:color w:val="000000"/>
          <w:sz w:val="22"/>
        </w:rPr>
        <w:t xml:space="preserve">means the requirements found in Iowa Code section </w:t>
      </w:r>
      <w:hyperlink r:id="rId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examination” </w:t>
      </w:r>
      <w:r>
        <w:rPr>
          <w:rFonts w:ascii="Times New Roman" w:hAnsi="Times New Roman"/>
          <w:b w:val="false"/>
          <w:i w:val="false"/>
          <w:color w:val="000000"/>
          <w:sz w:val="22"/>
        </w:rPr>
        <w:t>means the Examination for Professional Practice in Psychology (EPPP).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w:t>
      </w:r>
      <w:r>
        <w:rPr>
          <w:rFonts w:ascii="Times New Roman" w:hAnsi="Times New Roman"/>
          <w:b w:val="false"/>
          <w:i w:val="false"/>
          <w:color w:val="000000"/>
          <w:sz w:val="22"/>
        </w:rPr>
        <w:t>means a license issued to a person who is completing a predoctoral internship or postdoctoral residency under supervision in order to satisfy the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481—885.11</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481—885.2</w:t>
      </w:r>
      <w:r>
        <w:rPr>
          <w:rFonts w:ascii="Times New Roman" w:hAnsi="Times New Roman"/>
          <w:b/>
          <w:i w:val="false"/>
          <w:color w:val="000000"/>
          <w:sz w:val="22"/>
        </w:rPr>
        <w:t xml:space="preserve">(154B) </w:t>
      </w:r>
      <w:r>
        <w:rPr>
          <w:rFonts w:ascii="Times New Roman" w:hAnsi="Times New Roman"/>
          <w:b/>
          <w:i w:val="false"/>
          <w:color w:val="000000"/>
          <w:sz w:val="22"/>
        </w:rPr>
        <w:t xml:space="preserve">Requirements for initial psychology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 licensure and pay the nonrefundable licensure fee specified in rule </w:t>
      </w:r>
      <w:hyperlink r:id="rId7">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885.2(2)</w:t>
      </w:r>
      <w:r>
        <w:rPr>
          <w:rFonts w:ascii="Times New Roman" w:hAnsi="Times New Roman"/>
          <w:b w:val="false"/>
          <w:i w:val="false"/>
          <w:color w:val="000000"/>
          <w:sz w:val="22"/>
        </w:rPr>
        <w:t> </w:t>
      </w:r>
      <w:r>
        <w:rPr>
          <w:rFonts w:ascii="Times New Roman" w:hAnsi="Times New Roman"/>
          <w:b w:val="false"/>
          <w:i w:val="false"/>
          <w:color w:val="000000"/>
          <w:sz w:val="22"/>
        </w:rPr>
        <w:t>Except as otherwise stated in these rules, no application will be considered by the board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sent directly from the school to the board of psychology have been received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the candidate’s qualifications has been supplied in writing on the prescribed forms by the candidate’s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885.2(3)</w:t>
      </w:r>
      <w:r>
        <w:rPr>
          <w:rFonts w:ascii="Times New Roman" w:hAnsi="Times New Roman"/>
          <w:b w:val="false"/>
          <w:i w:val="false"/>
          <w:color w:val="000000"/>
          <w:sz w:val="22"/>
        </w:rPr>
        <w:t> </w:t>
      </w:r>
      <w:r>
        <w:rPr>
          <w:rFonts w:ascii="Times New Roman" w:hAnsi="Times New Roman"/>
          <w:b w:val="false"/>
          <w:i w:val="false"/>
          <w:color w:val="000000"/>
          <w:sz w:val="22"/>
        </w:rPr>
        <w:t>An applicant shall successfully pass the national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885.2(4)</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the national examination score sent directly from the ASPPB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481—885.3</w:t>
      </w:r>
      <w:r>
        <w:rPr>
          <w:rFonts w:ascii="Times New Roman" w:hAnsi="Times New Roman"/>
          <w:b/>
          <w:i w:val="false"/>
          <w:color w:val="000000"/>
          <w:sz w:val="22"/>
        </w:rPr>
        <w:t xml:space="preserve">(154B) </w:t>
      </w:r>
      <w:r>
        <w:rPr>
          <w:rFonts w:ascii="Times New Roman" w:hAnsi="Times New Roman"/>
          <w:b/>
          <w:i w:val="false"/>
          <w:color w:val="000000"/>
          <w:sz w:val="22"/>
        </w:rPr>
        <w:t xml:space="preserve">Educational qualifications. </w:t>
      </w:r>
      <w:r>
        <w:rPr>
          <w:rFonts w:ascii="Times New Roman" w:hAnsi="Times New Roman"/>
          <w:b w:val="false"/>
          <w:i w:val="false"/>
          <w:color w:val="000000"/>
          <w:sz w:val="22"/>
        </w:rPr>
        <w:t>An applicant for licensure to practice as a psychologist shall possess a doctoral degree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885.3(1)</w:t>
      </w:r>
      <w:r>
        <w:rPr>
          <w:rFonts w:ascii="Times New Roman" w:hAnsi="Times New Roman"/>
          <w:b w:val="false"/>
          <w:i w:val="false"/>
          <w:color w:val="000000"/>
          <w:sz w:val="22"/>
        </w:rPr>
        <w:t> </w:t>
      </w:r>
      <w:r>
        <w:rPr>
          <w:rFonts w:ascii="Times New Roman" w:hAnsi="Times New Roman"/>
          <w:b w:val="false"/>
          <w:i w:val="false"/>
          <w:color w:val="000000"/>
          <w:sz w:val="22"/>
        </w:rPr>
        <w:t xml:space="preserve"> At the time of an applicant’s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 from which the doctoral degree in psychology is granted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Accredited by the American Psychological Association;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Accredited by the Canadian Psychological Association;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Designated by the ASPPB/National Register;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holds current board certification from the American Board of Professional Psychology;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postdoctoral respecialization certificate from a program accredited by the American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885.3(2)</w:t>
      </w:r>
      <w:r>
        <w:rPr>
          <w:rFonts w:ascii="Times New Roman" w:hAnsi="Times New Roman"/>
          <w:b w:val="false"/>
          <w:i w:val="false"/>
          <w:color w:val="000000"/>
          <w:sz w:val="22"/>
        </w:rPr>
        <w:t> </w:t>
      </w:r>
      <w:r>
        <w:rPr>
          <w:rFonts w:ascii="Times New Roman" w:hAnsi="Times New Roman"/>
          <w:b w:val="false"/>
          <w:i w:val="false"/>
          <w:color w:val="000000"/>
          <w:sz w:val="22"/>
        </w:rPr>
        <w:t xml:space="preserve">Foreign-trained psychologists who possess a doctoral degree in psychology and who do not meet the requirements of </w:t>
      </w:r>
      <w:hyperlink r:id="rId8">
        <w:r>
          <w:rPr>
            <w:rStyle w:val="Hyperlink"/>
            <w:rFonts w:ascii="Times New Roman" w:hAnsi="Times New Roman"/>
            <w:b w:val="false"/>
            <w:i w:val="false"/>
            <w:color w:val="000000"/>
            <w:sz w:val="22"/>
          </w:rPr>
          <w:t>subrule 885.3(1)</w:t>
        </w:r>
      </w:hyperlink>
      <w:r>
        <w:rPr>
          <w:rFonts w:ascii="Times New Roman" w:hAnsi="Times New Roman"/>
          <w:b w:val="false"/>
          <w:i w:val="false"/>
          <w:color w:val="000000"/>
          <w:sz w:val="22"/>
        </w:rPr>
        <w:t xml:space="preserv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National Register of Health Service Psychologists, 1200 New York Avenue NW, Suite 800, Washington, D.C. 20005, telephone 202.783.7663, website </w:t>
      </w:r>
      <w:hyperlink r:id="rId9">
        <w:r>
          <w:rPr>
            <w:rStyle w:val="Hyperlink"/>
            <w:rFonts w:ascii="Times New Roman" w:hAnsi="Times New Roman"/>
            <w:b w:val="false"/>
            <w:i w:val="false"/>
            <w:color w:val="000000"/>
            <w:sz w:val="22"/>
            <w:u w:val="single"/>
          </w:rPr>
          <w:t>www.nationalregister.org</w:t>
        </w:r>
      </w:hyperlink>
      <w:r>
        <w:rPr>
          <w:rFonts w:ascii="Times New Roman" w:hAnsi="Times New Roman"/>
          <w:b w:val="false"/>
          <w:i w:val="false"/>
          <w:color w:val="000000"/>
          <w:sz w:val="22"/>
        </w:rPr>
        <w:t xml:space="preserve">, or by an evaluation service with membership in the National Association of Credential Evaluation Services at </w:t>
      </w:r>
      <w:hyperlink r:id="rId10">
        <w:r>
          <w:rPr>
            <w:rStyle w:val="Hyperlink"/>
            <w:rFonts w:ascii="Times New Roman" w:hAnsi="Times New Roman"/>
            <w:b w:val="false"/>
            <w:i w:val="false"/>
            <w:color w:val="000000"/>
            <w:sz w:val="22"/>
            <w:u w:val="single"/>
          </w:rPr>
          <w:t>www.naces.org</w:t>
        </w:r>
      </w:hyperlink>
      <w:r>
        <w:rPr>
          <w:rFonts w:ascii="Times New Roman" w:hAnsi="Times New Roman"/>
          <w:b w:val="false"/>
          <w:i w:val="false"/>
          <w:color w:val="000000"/>
          <w:sz w:val="22"/>
        </w:rPr>
        <w:t xml:space="preserve">. A certified translation of documents submitted in a language other than English shall be provided. The candidate will bear the expense of the curriculum evaluation and translation of application documents. The educational credentials must be equivalent to programs stated in </w:t>
      </w:r>
      <w:hyperlink r:id="rId11">
        <w:r>
          <w:rPr>
            <w:rStyle w:val="Hyperlink"/>
            <w:rFonts w:ascii="Times New Roman" w:hAnsi="Times New Roman"/>
            <w:b w:val="false"/>
            <w:i w:val="false"/>
            <w:color w:val="000000"/>
            <w:sz w:val="22"/>
          </w:rPr>
          <w:t>subrule 885.3(1)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evidence of meeting all other requirements for licensure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481—885.4</w:t>
      </w:r>
      <w:r>
        <w:rPr>
          <w:rFonts w:ascii="Times New Roman" w:hAnsi="Times New Roman"/>
          <w:b/>
          <w:i w:val="false"/>
          <w:color w:val="000000"/>
          <w:sz w:val="22"/>
        </w:rPr>
        <w:t xml:space="preserve">(154B)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An applicant will pass the national examination to be eligible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885.4(1)</w:t>
      </w:r>
      <w:r>
        <w:rPr>
          <w:rFonts w:ascii="Times New Roman" w:hAnsi="Times New Roman"/>
          <w:b w:val="false"/>
          <w:i w:val="false"/>
          <w:color w:val="000000"/>
          <w:sz w:val="22"/>
        </w:rPr>
        <w:t> </w:t>
      </w:r>
      <w:r>
        <w:rPr>
          <w:rFonts w:ascii="Times New Roman" w:hAnsi="Times New Roman"/>
          <w:b w:val="false"/>
          <w:i w:val="false"/>
          <w:color w:val="000000"/>
          <w:sz w:val="22"/>
        </w:rPr>
        <w:t>To be eligible to take the national examination, the applicant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requirements of subrules </w:t>
      </w:r>
      <w:hyperlink r:id="rId12">
        <w:r>
          <w:rPr>
            <w:rStyle w:val="Hyperlink"/>
            <w:rFonts w:ascii="Times New Roman" w:hAnsi="Times New Roman"/>
            <w:b w:val="false"/>
            <w:i w:val="false"/>
            <w:color w:val="000000"/>
            <w:sz w:val="22"/>
          </w:rPr>
          <w:t>885.2(1) and 885.2(2)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official copies of academic transcripts sent directly from the school to the board of psychology verifying completion of a doctoral degree in psychology in accordance with rule </w:t>
      </w:r>
      <w:hyperlink r:id="rId13">
        <w:r>
          <w:rPr>
            <w:rStyle w:val="Hyperlink"/>
            <w:rFonts w:ascii="Times New Roman" w:hAnsi="Times New Roman"/>
            <w:b w:val="false"/>
            <w:i w:val="false"/>
            <w:color w:val="000000"/>
            <w:sz w:val="22"/>
          </w:rPr>
          <w:t>481—885.3</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885.4(2)</w:t>
      </w:r>
      <w:r>
        <w:rPr>
          <w:rFonts w:ascii="Times New Roman" w:hAnsi="Times New Roman"/>
          <w:b w:val="false"/>
          <w:i w:val="false"/>
          <w:color w:val="000000"/>
          <w:sz w:val="22"/>
        </w:rPr>
        <w:t> </w:t>
      </w:r>
      <w:r>
        <w:rPr>
          <w:rFonts w:ascii="Times New Roman" w:hAnsi="Times New Roman"/>
          <w:b w:val="false"/>
          <w:i w:val="false"/>
          <w:color w:val="000000"/>
          <w:sz w:val="22"/>
        </w:rPr>
        <w:t>The EPPP passing score shall be utilized as the Iowa passing score.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481—885.5</w:t>
      </w:r>
      <w:r>
        <w:rPr>
          <w:rFonts w:ascii="Times New Roman" w:hAnsi="Times New Roman"/>
          <w:b/>
          <w:i w:val="false"/>
          <w:color w:val="000000"/>
          <w:sz w:val="22"/>
        </w:rPr>
        <w:t xml:space="preserve">(154B) </w:t>
      </w:r>
      <w:r>
        <w:rPr>
          <w:rFonts w:ascii="Times New Roman" w:hAnsi="Times New Roman"/>
          <w:b/>
          <w:i w:val="false"/>
          <w:color w:val="000000"/>
          <w:sz w:val="22"/>
        </w:rPr>
        <w:t xml:space="preserve">Postdoctoral residency.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postdoctoral residency may begin after all academic requirements for the doctoral degree, including completion of the predoctoral internship, have been completed. The postdoctoral residency shall consist of a minimum of 1,500 hours that are completed in no less than ten months.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885.5(2)</w:t>
      </w:r>
      <w:r>
        <w:rPr>
          <w:rFonts w:ascii="Times New Roman" w:hAnsi="Times New Roman"/>
          <w:b w:val="false"/>
          <w:i w:val="false"/>
          <w:color w:val="000000"/>
          <w:sz w:val="22"/>
        </w:rPr>
        <w:t> </w:t>
      </w:r>
      <w:r>
        <w:rPr>
          <w:rFonts w:ascii="Times New Roman" w:hAnsi="Times New Roman"/>
          <w:b w:val="false"/>
          <w:i w:val="false"/>
          <w:color w:val="000000"/>
          <w:sz w:val="22"/>
        </w:rPr>
        <w:t>During the postdoctoral residency, the supervisee will competently apply the principles of psychology under the supervision of a licensed psychologist who is actively licensed in the jurisdiction where the supervision occurs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complete a supervision plan using the form provided by the board. The supervision plan must be submitted to the board if the supervisee is applying for or utilizing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supervisor will not have more than three concurrent full-time supervisees or the equivalent in part-time supervisees. Full-time is defined as 40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meet individually in person or via videoconferencing during each week in which postdoctoral residency hours are accrued, for no less than a total of 45 hours during the postdoctoral residency. Group supervision hours cannot count toward the 45 hours of individual supervision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supervisor will provide supervision at all times, which means the supervisor will be readily available on site, or via electronic or telephonic means, at all times when the supervisee is providing services so that the supervisee may contact the supervisor for advice, assistance, or instruction. A supervisor will identify one or more licensed mental health providers who can be contacted for advice, assistance, or instruction during times in which the supervisor will not be readily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supervisee and supervisor will have a crisis plan in place any time the supervisee is providing services and the supervisor is not on site in the same physical setting as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supervisor will establish and maintain a level of supervisory contact consistent with established professional standards and be fully accountable in the event that professional, ethical or legal issues are raised.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supervisor will provide training that is appropriate to the functions to be performed. The supervisee shall have the background, training, and experience that is appropriate to the functions performed. The supervisor shall not permit the supervisee to engage in any psychological practice that the supervisor cannot perform competently.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supervisor and supervisee will ensure clients are informed regarding the supervisee’s status and the sharing of information between the supervisee and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supervisor will have reasonable access to the clinical records corresponding to the work being supervised. The supervisor will countersign all written reports, clinical records and clinical communications as “Reviewed and Approved” by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services will be offered in the name of the supervisor. The supervisee and supervisor will ensure that the supervisee uses a title in accordance with rule </w:t>
      </w:r>
      <w:hyperlink r:id="rId14">
        <w:r>
          <w:rPr>
            <w:rStyle w:val="Hyperlink"/>
            <w:rFonts w:ascii="Times New Roman" w:hAnsi="Times New Roman"/>
            <w:b w:val="false"/>
            <w:i w:val="false"/>
            <w:color w:val="000000"/>
            <w:sz w:val="22"/>
          </w:rPr>
          <w:t>481—885.13</w:t>
        </w:r>
      </w:hyperlink>
      <w:r>
        <w:rPr>
          <w:rFonts w:ascii="Times New Roman" w:hAnsi="Times New Roman"/>
          <w:b w:val="false"/>
          <w:i w:val="false"/>
          <w:color w:val="000000"/>
          <w:sz w:val="22"/>
        </w:rPr>
        <w:t>(154B,147).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fee schedule and receipt of payment will remain the sole domain of the supervisor or employing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supervisor will maintain an ongoing record of supervision that details the types of activities in which the supervisee is engaged, the level of the supervisee’s competence in each, and the type and outcome of all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supervisor is responsible for determining the competency of the work performed by the supervisee and must honestly and accurately complete the supervision report at the conclusion of providing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481—885.6</w:t>
      </w:r>
      <w:r>
        <w:rPr>
          <w:rFonts w:ascii="Times New Roman" w:hAnsi="Times New Roman"/>
          <w:b/>
          <w:i w:val="false"/>
          <w:color w:val="000000"/>
          <w:sz w:val="22"/>
        </w:rPr>
        <w:t xml:space="preserve">(154B) </w:t>
      </w:r>
      <w:r>
        <w:rPr>
          <w:rFonts w:ascii="Times New Roman" w:hAnsi="Times New Roman"/>
          <w:b/>
          <w:i w:val="false"/>
          <w:color w:val="000000"/>
          <w:sz w:val="22"/>
        </w:rPr>
        <w:t xml:space="preserve">Certified health service provider in psychology.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885.6(1)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health service provider in psychology. </w:t>
      </w:r>
      <w:r>
        <w:rPr>
          <w:rFonts w:ascii="Times New Roman" w:hAnsi="Times New Roman"/>
          <w:b w:val="false"/>
          <w:i w:val="false"/>
          <w:color w:val="000000"/>
          <w:sz w:val="22"/>
        </w:rPr>
        <w:t xml:space="preserve">The applicant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at least one year of clinical experience in an organized health service training program that meets the requirements of </w:t>
      </w:r>
      <w:hyperlink r:id="rId15">
        <w:r>
          <w:rPr>
            <w:rStyle w:val="Hyperlink"/>
            <w:rFonts w:ascii="Times New Roman" w:hAnsi="Times New Roman"/>
            <w:b w:val="false"/>
            <w:i w:val="false"/>
            <w:color w:val="000000"/>
            <w:sz w:val="22"/>
          </w:rPr>
          <w:t>subrule 885.6(2)</w:t>
        </w:r>
      </w:hyperlink>
      <w:r>
        <w:rPr>
          <w:rFonts w:ascii="Times New Roman" w:hAnsi="Times New Roman"/>
          <w:b w:val="false"/>
          <w:i w:val="false"/>
          <w:color w:val="000000"/>
          <w:sz w:val="22"/>
        </w:rPr>
        <w:t xml:space="preserve"> and at least one year of clinical experience in a health service setting that meets the requirements for postdoctoral residency stated in rule </w:t>
      </w:r>
      <w:hyperlink r:id="rId16">
        <w:r>
          <w:rPr>
            <w:rStyle w:val="Hyperlink"/>
            <w:rFonts w:ascii="Times New Roman" w:hAnsi="Times New Roman"/>
            <w:b w:val="false"/>
            <w:i w:val="false"/>
            <w:color w:val="000000"/>
            <w:sz w:val="22"/>
          </w:rPr>
          <w:t>481—885.5</w:t>
        </w:r>
      </w:hyperlink>
      <w:r>
        <w:rPr>
          <w:rFonts w:ascii="Times New Roman" w:hAnsi="Times New Roman"/>
          <w:b w:val="false"/>
          <w:i w:val="false"/>
          <w:color w:val="000000"/>
          <w:sz w:val="22"/>
        </w:rPr>
        <w:t xml:space="preserve">(154B). Alternatively, an applicant may submit verification of current registration at the doctoral level by the National Register of Health Service Psychologists to verify completion of the required clinical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and nonrefundable application fee along with supporting documentation. 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Renew the certificate biennially at the same time as the psychology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885.6(2)</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the organized health service training program. </w:t>
      </w:r>
      <w:r>
        <w:rPr>
          <w:rFonts w:ascii="Times New Roman" w:hAnsi="Times New Roman"/>
          <w:b w:val="false"/>
          <w:i w:val="false"/>
          <w:color w:val="000000"/>
          <w:sz w:val="22"/>
        </w:rPr>
        <w:t>Internship programs in professional psychology that are accredited by the American Psychological Association (APA) or the Canadian Psychological Association (CPA) or that hold membership in the Association of Psychology Postdoctoral and Internship Centers (APPIC) are deemed approved. Applicants completing an organized health service training program that is not accredited by the APA or the CPA, or is not APPIC-designated at the time the applicant completes the training shall cause documentation to be sent from the program to establish that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the intern with a planned, programmed sequence of training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 clearly designated doctoral-level staff psychologist who is responsible for the integrity and quality of the training program and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two or more doctoral-level psychologists on the staff who serve as supervisors, at least one of whom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supervision that is provided by staff members of the organized health service training program or by an affiliate of the organized health service training program who carries clinical responsibility for the cases being supervised. At least half of the internship supervision shall be provided by one or more doctoral-level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training in a range of psychological assessment and treatment activities conducted directly with recipients of psychological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Ensures that trainees have a minimum of 375 hours of direct patient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Includes a minimum of two hours per week (regardless of whether the internship is completed in one year or two years) of regularly scheduled, formal, face-to-face individual supervision with the specific intent of dealing with psychological services rendered directly by the intern. There must also be at least two additional hours per week in learning activities such as case conferences involving a case in which the intern is actively involved, seminars dealing with clinical issues, cotherapy with a staff person including discussion, group supervision, and additional individual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training that is at the postclerkship, postpracticum, and postexternship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Has a minimum of two interns at the internship level of training during any period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Designates for internship-level trainees titles such as “intern,” “resident,” “fellow,” or other designation of trainee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Has a written statement or brochure that describes the goals and content of the internship, states clear expectations for quantity and quality of trainees’ work and is made available to prospective 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Provides a minimum of 1,500 hours of training experience that shall be completed in no less than 12 months within a 24-consecutive-month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481—885.7</w:t>
      </w:r>
      <w:r>
        <w:rPr>
          <w:rFonts w:ascii="Times New Roman" w:hAnsi="Times New Roman"/>
          <w:b/>
          <w:i w:val="false"/>
          <w:color w:val="000000"/>
          <w:sz w:val="22"/>
        </w:rPr>
        <w:t xml:space="preserve">(154B) </w:t>
      </w:r>
      <w:r>
        <w:rPr>
          <w:rFonts w:ascii="Times New Roman" w:hAnsi="Times New Roman"/>
          <w:b/>
          <w:i w:val="false"/>
          <w:color w:val="000000"/>
          <w:sz w:val="22"/>
        </w:rPr>
        <w:t xml:space="preserve">Requirements for 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885.7(1)</w:t>
      </w:r>
      <w:r>
        <w:rPr>
          <w:rFonts w:ascii="Times New Roman" w:hAnsi="Times New Roman"/>
          <w:b w:val="false"/>
          <w:i w:val="false"/>
          <w:color w:val="000000"/>
          <w:sz w:val="22"/>
        </w:rPr>
        <w:t> </w:t>
      </w:r>
      <w:r>
        <w:rPr>
          <w:rFonts w:ascii="Times New Roman" w:hAnsi="Times New Roman"/>
          <w:b w:val="false"/>
          <w:i/>
          <w:color w:val="000000"/>
          <w:sz w:val="22"/>
        </w:rPr>
        <w:t xml:space="preserve">Predoctoral internship. </w:t>
      </w:r>
      <w:r>
        <w:rPr>
          <w:rFonts w:ascii="Times New Roman" w:hAnsi="Times New Roman"/>
          <w:b w:val="false"/>
          <w:i w:val="false"/>
          <w:color w:val="000000"/>
          <w:sz w:val="22"/>
        </w:rPr>
        <w:t>An applicant for a provisional license for purposes of completing a predoctoral internship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provisional application for licensure and pay the nonrefundable licensure fee specified in rule </w:t>
      </w:r>
      <w:hyperlink r:id="rId17">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acceptance letter for the predoctoral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training director and the training director’s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applicant is enrolled in an educational program that meets the requirements of rule </w:t>
      </w:r>
      <w:hyperlink r:id="rId18">
        <w:r>
          <w:rPr>
            <w:rStyle w:val="Hyperlink"/>
            <w:rFonts w:ascii="Times New Roman" w:hAnsi="Times New Roman"/>
            <w:b w:val="false"/>
            <w:i w:val="false"/>
            <w:color w:val="000000"/>
            <w:sz w:val="22"/>
          </w:rPr>
          <w:t>481—885.3</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885.7(2)</w:t>
      </w:r>
      <w:r>
        <w:rPr>
          <w:rFonts w:ascii="Times New Roman" w:hAnsi="Times New Roman"/>
          <w:b w:val="false"/>
          <w:i w:val="false"/>
          <w:color w:val="000000"/>
          <w:sz w:val="22"/>
        </w:rPr>
        <w:t> </w:t>
      </w:r>
      <w:r>
        <w:rPr>
          <w:rFonts w:ascii="Times New Roman" w:hAnsi="Times New Roman"/>
          <w:b w:val="false"/>
          <w:i/>
          <w:color w:val="000000"/>
          <w:sz w:val="22"/>
        </w:rPr>
        <w:t xml:space="preserve">Postdoctoral residency. </w:t>
      </w:r>
      <w:r>
        <w:rPr>
          <w:rFonts w:ascii="Times New Roman" w:hAnsi="Times New Roman"/>
          <w:b w:val="false"/>
          <w:i w:val="false"/>
          <w:color w:val="000000"/>
          <w:sz w:val="22"/>
        </w:rPr>
        <w:t>An applicant for a provisional license for purposes of completing a postdoctoral residency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 licensure and pay the nonrefundable licensure fee specified in rule </w:t>
      </w:r>
      <w:hyperlink r:id="rId19">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from the school establishing that the requirements stated in rule </w:t>
      </w:r>
      <w:hyperlink r:id="rId20">
        <w:r>
          <w:rPr>
            <w:rStyle w:val="Hyperlink"/>
            <w:rFonts w:ascii="Times New Roman" w:hAnsi="Times New Roman"/>
            <w:b w:val="false"/>
            <w:i w:val="false"/>
            <w:color w:val="000000"/>
            <w:sz w:val="22"/>
          </w:rPr>
          <w:t>481—885.3</w:t>
        </w:r>
      </w:hyperlink>
      <w:r>
        <w:rPr>
          <w:rFonts w:ascii="Times New Roman" w:hAnsi="Times New Roman"/>
          <w:b w:val="false"/>
          <w:i w:val="false"/>
          <w:color w:val="000000"/>
          <w:sz w:val="22"/>
        </w:rPr>
        <w:t>(154B)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supervision plan on the prescribed board form, signed by the applicant’s supervisors. A change in supervisor or in the supervision plan requires submission of a new supervision plan on the prescribed board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885.7(3)</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provisional license is effective for two years from the date of issuance. A provisional license issued for purposes of completing a predoctoral internship can be used for purposes of completing a postdoctoral residency until the provisional license expires. The provisional licensee shall submit a completed supervision plan on the prescribed board form, signed by the licensee’s supervisors, prior to beginning the postdoctoral residency. A change in supervisor or in the supervision plan requires submission of a new supervision plan on the prescribed board form. A provisional license may be renewed one time for a period of two years upon submission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current supervision plan as required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481—885.8</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possesses a doctoral degree in psychology and has been a licensed psychologist at the doctoral level under the laws of another jurisdiction may file an application for licensure by endorsement with the board office. The board may license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application for licensure and pay the nonrefundable licensure fee specified in rule </w:t>
      </w:r>
      <w:hyperlink r:id="rId21">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 xml:space="preserve">(147,154B).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885.8(2)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license from the jurisdiction in which the applicant has most recently been licensed, and additional verifications if necessary to verify at least three years of an independent license as described in subrule </w:t>
      </w:r>
      <w:r>
        <w:rPr>
          <w:rFonts w:ascii="Times New Roman" w:hAnsi="Times New Roman"/>
          <w:b w:val="false"/>
          <w:i w:val="false"/>
          <w:color w:val="000000"/>
          <w:sz w:val="22"/>
        </w:rPr>
        <w:t>885.8(4)</w:t>
      </w:r>
      <w:r>
        <w:rPr>
          <w:rFonts w:ascii="Times New Roman" w:hAnsi="Times New Roman"/>
          <w:b w:val="false"/>
          <w:i w:val="false"/>
          <w:color w:val="000000"/>
          <w:sz w:val="22"/>
        </w:rPr>
        <w:t>,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885.8(3)</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verification of a current Certificate of Professional Qualification (CPQ) issued by the ASPPB, or verification of a doctoral degree in psychology and an independent license to practice psychology in another jurisdiction for at least three years with no disciplinary history. Except as stated in </w:t>
      </w:r>
      <w:hyperlink r:id="rId22">
        <w:r>
          <w:rPr>
            <w:rStyle w:val="Hyperlink"/>
            <w:rFonts w:ascii="Times New Roman" w:hAnsi="Times New Roman"/>
            <w:b w:val="false"/>
            <w:i w:val="false"/>
            <w:color w:val="000000"/>
            <w:sz w:val="22"/>
          </w:rPr>
          <w:t>subrule 885.3(2)</w:t>
        </w:r>
      </w:hyperlink>
      <w:r>
        <w:rPr>
          <w:rFonts w:ascii="Times New Roman" w:hAnsi="Times New Roman"/>
          <w:b w:val="false"/>
          <w:i w:val="false"/>
          <w:color w:val="000000"/>
          <w:sz w:val="22"/>
        </w:rPr>
        <w:t xml:space="preserve">, applicants providing certification or verification are deemed to have met the requirements stated in paragraphs </w:t>
      </w:r>
      <w:r>
        <w:rPr>
          <w:rFonts w:ascii="Times New Roman" w:hAnsi="Times New Roman"/>
          <w:b w:val="false"/>
          <w:i w:val="false"/>
          <w:color w:val="000000"/>
          <w:sz w:val="22"/>
        </w:rPr>
        <w:t>885.8(4)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board may license by endorsement any other applicant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the official EPPP score sent directly to the board from the ASPPB or verification of the EPPP score sent directly from the state of initial licensure. The recommended passing score established by the ASPPB shall be considered passing.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substantially equivalent to those required in Iowa by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that have been sent directly from the school;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the applicant’s qualifications in writing on the prescribed forms by the applicant’s supervisors. If verification of professional experience is not available, the board may consider submission of documentation from the jurisdiction in which the applicant is currently licensed or equivalent documentation of supervision;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official copy of one of the following certifications sent directly to the board from the certifying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credentialing at the doctoral level as a health service provider in psychology by the National Register of Health Service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Board certification by the American Board of Professional Psychology that was originally granted on or after January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885.8(4)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23">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481—885.9</w:t>
      </w:r>
      <w:r>
        <w:rPr>
          <w:rFonts w:ascii="Times New Roman" w:hAnsi="Times New Roman"/>
          <w:b/>
          <w:i w:val="false"/>
          <w:color w:val="000000"/>
          <w:sz w:val="22"/>
        </w:rPr>
        <w:t xml:space="preserve">(154B) </w:t>
      </w:r>
      <w:r>
        <w:rPr>
          <w:rFonts w:ascii="Times New Roman" w:hAnsi="Times New Roman"/>
          <w:b/>
          <w:i w:val="false"/>
          <w:color w:val="000000"/>
          <w:sz w:val="22"/>
        </w:rPr>
        <w:t xml:space="preserve">Exemption to licensure. </w:t>
      </w:r>
      <w:r>
        <w:rPr>
          <w:rFonts w:ascii="Times New Roman" w:hAnsi="Times New Roman"/>
          <w:b w:val="false"/>
          <w:i w:val="false"/>
          <w:color w:val="000000"/>
          <w:sz w:val="22"/>
        </w:rPr>
        <w:t xml:space="preserve">Psychologists residing outside the state of Iowa and intending to practice in Iowa under the provisions of Iowa Code section </w:t>
      </w:r>
      <w:hyperlink r:id="rId24">
        <w:r>
          <w:rPr>
            <w:rStyle w:val="Hyperlink"/>
            <w:rFonts w:ascii="Times New Roman" w:hAnsi="Times New Roman"/>
            <w:b w:val="false"/>
            <w:i w:val="false"/>
            <w:color w:val="000000"/>
            <w:sz w:val="22"/>
          </w:rPr>
          <w:t>154B.3(5)</w:t>
        </w:r>
      </w:hyperlink>
      <w:r>
        <w:rPr>
          <w:rFonts w:ascii="Times New Roman" w:hAnsi="Times New Roman"/>
          <w:b w:val="false"/>
          <w:i w:val="false"/>
          <w:color w:val="000000"/>
          <w:sz w:val="22"/>
        </w:rPr>
        <w:t xml:space="preserve"> shall complete and submit the application for the exemption to licensure and the nonrefundable licensure fee specified in rule </w:t>
      </w:r>
      <w:hyperlink r:id="rId25">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885.9(1)</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summary of the intent to practice and a verification of the license in the applicant’s jurisdiction of residence,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885.9(2)</w:t>
      </w:r>
      <w:r>
        <w:rPr>
          <w:rFonts w:ascii="Times New Roman" w:hAnsi="Times New Roman"/>
          <w:b w:val="false"/>
          <w:i w:val="false"/>
          <w:color w:val="000000"/>
          <w:sz w:val="22"/>
        </w:rPr>
        <w:t> </w:t>
      </w:r>
      <w:r>
        <w:rPr>
          <w:rFonts w:ascii="Times New Roman" w:hAnsi="Times New Roman"/>
          <w:b w:val="false"/>
          <w:i w:val="false"/>
          <w:color w:val="000000"/>
          <w:sz w:val="22"/>
        </w:rPr>
        <w:t>The exemption must be issued prior to practice in Iowa. The exemption shall be valid for 10 consecutive business days or not to exceed 15 business days in any 90-day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psychology shall begin on July 1 of even-numbered years and end on June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6">
        <w:r>
          <w:rPr>
            <w:rStyle w:val="Hyperlink"/>
            <w:rFonts w:ascii="Times New Roman" w:hAnsi="Times New Roman"/>
            <w:b w:val="false"/>
            <w:i w:val="false"/>
            <w:color w:val="000000"/>
            <w:sz w:val="22"/>
          </w:rPr>
          <w:t>481—886.2</w:t>
        </w:r>
      </w:hyperlink>
      <w:r>
        <w:rPr>
          <w:rFonts w:ascii="Times New Roman" w:hAnsi="Times New Roman"/>
          <w:b w:val="false"/>
          <w:i w:val="false"/>
          <w:color w:val="000000"/>
          <w:sz w:val="22"/>
        </w:rPr>
        <w:t xml:space="preserve">(272C) and the mandatory reporting requirements of subrule </w:t>
      </w:r>
      <w:r>
        <w:rPr>
          <w:rFonts w:ascii="Times New Roman" w:hAnsi="Times New Roman"/>
          <w:b w:val="false"/>
          <w:i w:val="false"/>
          <w:color w:val="000000"/>
          <w:sz w:val="22"/>
        </w:rPr>
        <w:t>885.10(4)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27">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885.10(4)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28">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r>
        <w:rPr>
          <w:rFonts w:ascii="Times New Roman" w:hAnsi="Times New Roman"/>
          <w:b w:val="false"/>
          <w:i w:val="false"/>
          <w:color w:val="000000"/>
          <w:sz w:val="22"/>
        </w:rPr>
        <w:t>885.13(4)</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paragraphs </w:t>
      </w:r>
      <w:r>
        <w:rPr>
          <w:rFonts w:ascii="Times New Roman" w:hAnsi="Times New Roman"/>
          <w:b w:val="false"/>
          <w:i w:val="false"/>
          <w:color w:val="000000"/>
          <w:sz w:val="22"/>
        </w:rPr>
        <w:t>885.13(4)</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29">
        <w:r>
          <w:rPr>
            <w:rStyle w:val="Hyperlink"/>
            <w:rFonts w:ascii="Times New Roman" w:hAnsi="Times New Roman"/>
            <w:b w:val="false"/>
            <w:i w:val="false"/>
            <w:color w:val="000000"/>
            <w:sz w:val="22"/>
          </w:rPr>
          <w:t>481—500.14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885.10(4)</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psychologist shall keep the person’s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 shall become late when the license has not been renewed by the expiration date on the renewal. The licensee shall be assessed a late fee as specified in </w:t>
      </w:r>
      <w:hyperlink r:id="rId30">
        <w:r>
          <w:rPr>
            <w:rStyle w:val="Hyperlink"/>
            <w:rFonts w:ascii="Times New Roman" w:hAnsi="Times New Roman"/>
            <w:b w:val="false"/>
            <w:i w:val="false"/>
            <w:color w:val="000000"/>
            <w:sz w:val="22"/>
          </w:rPr>
          <w:t>481—subrule 507.16(3)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885.10(8)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 psychologist or health service provider in psychology in Iowa until the license is reactivated. A licensee who practices as a psychologist or health service provider in psychology in the state of Iowa with an inactive license may be subject to disciplinary action by the board, injunctive action pursuant to Iowa Code section </w:t>
      </w:r>
      <w:hyperlink r:id="rId31">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2">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481—885.11</w:t>
      </w:r>
      <w:r>
        <w:rPr>
          <w:rFonts w:ascii="Times New Roman" w:hAnsi="Times New Roman"/>
          <w:b/>
          <w:i w:val="false"/>
          <w:color w:val="000000"/>
          <w:sz w:val="22"/>
        </w:rPr>
        <w:t xml:space="preserve">(147,272C)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885.11(1)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885.11(2)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33">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885.11(3)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the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885.11(4)</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481—885.12</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4">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5">
        <w:r>
          <w:rPr>
            <w:rStyle w:val="Hyperlink"/>
            <w:rFonts w:ascii="Times New Roman" w:hAnsi="Times New Roman"/>
            <w:b w:val="false"/>
            <w:i w:val="false"/>
            <w:color w:val="000000"/>
            <w:sz w:val="22"/>
          </w:rPr>
          <w:t>481—885.14</w:t>
        </w:r>
      </w:hyperlink>
      <w:r>
        <w:rPr>
          <w:rFonts w:ascii="Times New Roman" w:hAnsi="Times New Roman"/>
          <w:b w:val="false"/>
          <w:i w:val="false"/>
          <w:color w:val="000000"/>
          <w:sz w:val="22"/>
        </w:rPr>
        <w:t>(17A,147,272C) prior to practicing as a psychologist or health service provider in psychology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481—885.13</w:t>
      </w:r>
      <w:r>
        <w:rPr>
          <w:rFonts w:ascii="Times New Roman" w:hAnsi="Times New Roman"/>
          <w:b/>
          <w:i w:val="false"/>
          <w:color w:val="000000"/>
          <w:sz w:val="22"/>
        </w:rPr>
        <w:t xml:space="preserve">(154B,147) </w:t>
      </w:r>
      <w:r>
        <w:rPr>
          <w:rFonts w:ascii="Times New Roman" w:hAnsi="Times New Roman"/>
          <w:b/>
          <w:i w:val="false"/>
          <w:color w:val="000000"/>
          <w:sz w:val="22"/>
        </w:rPr>
        <w:t xml:space="preserve">Title 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885.13(1)</w:t>
      </w:r>
      <w:r>
        <w:rPr>
          <w:rFonts w:ascii="Times New Roman" w:hAnsi="Times New Roman"/>
          <w:b w:val="false"/>
          <w:i w:val="false"/>
          <w:color w:val="000000"/>
          <w:sz w:val="22"/>
        </w:rPr>
        <w:t> </w:t>
      </w:r>
      <w:r>
        <w:rPr>
          <w:rFonts w:ascii="Times New Roman" w:hAnsi="Times New Roman"/>
          <w:b w:val="false"/>
          <w:i w:val="false"/>
          <w:color w:val="000000"/>
          <w:sz w:val="22"/>
        </w:rPr>
        <w:t xml:space="preserve">Students who are enrolled in an education program that satisfies the requirements of </w:t>
      </w:r>
      <w:hyperlink r:id="rId36">
        <w:r>
          <w:rPr>
            <w:rStyle w:val="Hyperlink"/>
            <w:rFonts w:ascii="Times New Roman" w:hAnsi="Times New Roman"/>
            <w:b w:val="false"/>
            <w:i w:val="false"/>
            <w:color w:val="000000"/>
            <w:sz w:val="22"/>
          </w:rPr>
          <w:t>subrule 885.3(1)</w:t>
        </w:r>
      </w:hyperlink>
      <w:r>
        <w:rPr>
          <w:rFonts w:ascii="Times New Roman" w:hAnsi="Times New Roman"/>
          <w:b w:val="false"/>
          <w:i w:val="false"/>
          <w:color w:val="000000"/>
          <w:sz w:val="22"/>
        </w:rPr>
        <w:t xml:space="preserve"> and who are completing the predoctoral internship may be designated “psychology intern” or “intern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885.13(2)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for licensure who have met educational requirements and who are completing the postdoctoral residency to be eligible for licensure may be designated “psychology resident,” “resident in psychology,” “psychology postdoctoral fellow,” or “postdoctoral fellow in psychology.” The designation of “resident” shall not be used except during a postdoctoral residency that meets the requirements of rule </w:t>
      </w:r>
      <w:hyperlink r:id="rId37">
        <w:r>
          <w:rPr>
            <w:rStyle w:val="Hyperlink"/>
            <w:rFonts w:ascii="Times New Roman" w:hAnsi="Times New Roman"/>
            <w:b w:val="false"/>
            <w:i w:val="false"/>
            <w:color w:val="000000"/>
            <w:sz w:val="22"/>
          </w:rPr>
          <w:t>481—885.6</w:t>
        </w:r>
      </w:hyperlink>
      <w:r>
        <w:rPr>
          <w:rFonts w:ascii="Times New Roman" w:hAnsi="Times New Roman"/>
          <w:b w:val="false"/>
          <w:i w:val="false"/>
          <w:color w:val="000000"/>
          <w:sz w:val="22"/>
        </w:rPr>
        <w:t>(154B).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885.13(3)</w:t>
      </w:r>
      <w:r>
        <w:rPr>
          <w:rFonts w:ascii="Times New Roman" w:hAnsi="Times New Roman"/>
          <w:b w:val="false"/>
          <w:i w:val="false"/>
          <w:color w:val="000000"/>
          <w:sz w:val="22"/>
        </w:rPr>
        <w:t> </w:t>
      </w:r>
      <w:r>
        <w:rPr>
          <w:rFonts w:ascii="Times New Roman" w:hAnsi="Times New Roman"/>
          <w:b w:val="false"/>
          <w:i w:val="false"/>
          <w:color w:val="000000"/>
          <w:sz w:val="22"/>
        </w:rPr>
        <w:t>Persons who possess provisional licenses shall add the designation “provisional license in psychology” following the “resident,” “intern,” or “fellow” designation.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481—885.14</w:t>
      </w:r>
      <w:r>
        <w:rPr>
          <w:rFonts w:ascii="Times New Roman" w:hAnsi="Times New Roman"/>
          <w:b/>
          <w:i w:val="false"/>
          <w:color w:val="000000"/>
          <w:sz w:val="22"/>
        </w:rPr>
        <w:t xml:space="preserve">(154B) </w:t>
      </w:r>
      <w:r>
        <w:rPr>
          <w:rFonts w:ascii="Times New Roman" w:hAnsi="Times New Roman"/>
          <w:b/>
          <w:i w:val="false"/>
          <w:color w:val="000000"/>
          <w:sz w:val="22"/>
        </w:rPr>
        <w:t xml:space="preserve">Psychologists’ supervision of persons other than postdoctoral residents in a practice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885.14(1)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when a psychologist is supervising individuals who are not licensed or who are provisionally licensed and completing the predoctoral internship. This rule does not apply to supervision of an individual completing a postdoctoral residency in accordance with rule </w:t>
      </w:r>
      <w:hyperlink r:id="rId38">
        <w:r>
          <w:rPr>
            <w:rStyle w:val="Hyperlink"/>
            <w:rFonts w:ascii="Times New Roman" w:hAnsi="Times New Roman"/>
            <w:b w:val="false"/>
            <w:i w:val="false"/>
            <w:color w:val="000000"/>
            <w:sz w:val="22"/>
          </w:rPr>
          <w:t>481—885.6</w:t>
        </w:r>
      </w:hyperlink>
      <w:r>
        <w:rPr>
          <w:rFonts w:ascii="Times New Roman" w:hAnsi="Times New Roman"/>
          <w:b w:val="false"/>
          <w:i w:val="false"/>
          <w:color w:val="000000"/>
          <w:sz w:val="22"/>
        </w:rPr>
        <w:t>(154B), regardless of whether the individual is provisionally licensed or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885.14(2)</w:t>
      </w:r>
      <w:r>
        <w:rPr>
          <w:rFonts w:ascii="Times New Roman" w:hAnsi="Times New Roman"/>
          <w:b w:val="false"/>
          <w:i w:val="false"/>
          <w:color w:val="000000"/>
          <w:sz w:val="22"/>
        </w:rPr>
        <w:t> </w:t>
      </w:r>
      <w:r>
        <w:rPr>
          <w:rFonts w:ascii="Times New Roman" w:hAnsi="Times New Roman"/>
          <w:b w:val="false"/>
          <w:i w:val="false"/>
          <w:color w:val="000000"/>
          <w:sz w:val="22"/>
        </w:rPr>
        <w:t>The supervising psychologist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vested with administrative control over the functioning of assistants in order to maintain ultimate responsibility for the welfare of every client. When the employer is a person other than the supervising psychologist, the supervising psychologist must have direct input into administrative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sufficient knowledge of all clients, including face-to-face contact when necessary, in order to plan effective service delivery procedures. The progress of the work will be monitored through such means as will ensure that full legal and professional responsibility can be accepted by the supervisor for all services rendered. Supervisors will also be available for emergency consultation and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work assignments that are commensurate with the skills of the supervisee. All procedures will be planned in consultation with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in the same physical setting as the supervisee, unless the supervisee is receiving formal training pursuant to the requirements for licensure as a psychologist. For supervisees working off site while receiving formal licensure training, ensure the off-site location has a licensed mental health provider or primary care provider on site whenever the supervisee is working for purposes of providing emergency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public announcement of services and fees; contact with laypersons or the professional community will be offered only by or in the name of the supervising psychologist. Titles of unlicensed persons must clearly indicate their supervised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specific information to clients when an unlicensed person delivers services to those clients, including disclosure of the unlicensed person’s status and information regarding the person’s qualifications and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Inform clients of the possibility of periodic meetings with the supervising psychologist at the client’s, the supervisee’s or the supervisor’s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 for setting and receipt of payment that will remain the sole domain of the employing agency or supervising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Establish and maintain a level of supervisory contact consistent with established professional standards, and be fully accountable in the event that professional, ethical or legal issues are raised.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 a detailed job description in which functions are designated at varying levels of difficulty, requiring increasing levels of training, skill and experience. This job description will be made available to representatives of the board and service recipients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planning, course, and outcome of the work. The conduct of supervision shall ensure the professional, ethical, and legal protection of the client and of the unlicensed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Countersign all written reports, clinical records and clinical communications as “Reviewed and Approved” by the supervising psychologist.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6/21/01, Notice 3/7/01—published 7/11/01, effective 8/15/01]</w:t>
      </w:r>
    </w:p>
    <w:p>
      <w:pPr>
        <w:spacing w:before="0" w:after="0"/>
        <w:ind w:left="120"/>
        <w:jc w:val="center"/>
      </w:pPr>
      <w:r>
        <w:rPr>
          <w:rFonts w:ascii="Times New Roman" w:hAnsi="Times New Roman"/>
          <w:b w:val="false"/>
          <w:i w:val="false"/>
          <w:color w:val="000000"/>
          <w:sz w:val="21"/>
        </w:rPr>
        <w:t>[Filed 2/15/02, Notice 12/12/01—published 3/6/02, effective 4/10/02]</w:t>
      </w:r>
    </w:p>
    <w:p>
      <w:pPr>
        <w:spacing w:before="0" w:after="0"/>
        <w:ind w:left="120"/>
        <w:jc w:val="center"/>
      </w:pPr>
      <w:r>
        <w:rPr>
          <w:rFonts w:ascii="Times New Roman" w:hAnsi="Times New Roman"/>
          <w:b w:val="false"/>
          <w:i w:val="false"/>
          <w:color w:val="000000"/>
          <w:sz w:val="21"/>
        </w:rPr>
        <w:t>[Filed 8/16/02, Notice 6/12/02—published 9/4/02, effective 10/9/02]</w:t>
      </w:r>
    </w:p>
    <w:p>
      <w:pPr>
        <w:spacing w:before="0" w:after="0"/>
        <w:ind w:left="120"/>
        <w:jc w:val="center"/>
      </w:pPr>
      <w:r>
        <w:rPr>
          <w:rFonts w:ascii="Times New Roman" w:hAnsi="Times New Roman"/>
          <w:b w:val="false"/>
          <w:i w:val="false"/>
          <w:color w:val="000000"/>
          <w:sz w:val="21"/>
        </w:rPr>
        <w:t>[Filed 8/27/03, Notice 5/28/03—published 9/17/03, effective 10/22/03]</w:t>
      </w:r>
    </w:p>
    <w:p>
      <w:pPr>
        <w:spacing w:before="0" w:after="0"/>
        <w:ind w:left="120"/>
        <w:jc w:val="center"/>
      </w:pPr>
      <w:r>
        <w:rPr>
          <w:rFonts w:ascii="Times New Roman" w:hAnsi="Times New Roman"/>
          <w:b w:val="false"/>
          <w:i w:val="false"/>
          <w:color w:val="000000"/>
          <w:sz w:val="21"/>
        </w:rPr>
        <w:t>[Filed 2/10/04, Notice 11/26/03—published 3/3/04, effective 4/7/04]</w:t>
      </w:r>
    </w:p>
    <w:p>
      <w:pPr>
        <w:spacing w:before="0" w:after="0"/>
        <w:ind w:left="120"/>
        <w:jc w:val="center"/>
      </w:pPr>
      <w:r>
        <w:rPr>
          <w:rFonts w:ascii="Times New Roman" w:hAnsi="Times New Roman"/>
          <w:b w:val="false"/>
          <w:i w:val="false"/>
          <w:color w:val="000000"/>
          <w:sz w:val="21"/>
        </w:rPr>
        <w:t>[Filed 11/12/04, Notice 7/21/04—published 12/8/04, effective 1/12/05]</w:t>
      </w:r>
    </w:p>
    <w:p>
      <w:pPr>
        <w:spacing w:before="0" w:after="0"/>
        <w:ind w:left="120"/>
        <w:jc w:val="center"/>
      </w:pPr>
      <w:r>
        <w:rPr>
          <w:rFonts w:ascii="Times New Roman" w:hAnsi="Times New Roman"/>
          <w:b w:val="false"/>
          <w:i w:val="false"/>
          <w:color w:val="000000"/>
          <w:sz w:val="21"/>
        </w:rPr>
        <w:t>[Filed 11/12/04, Notice 9/1/04—published 12/8/04, effective 1/12/05]</w:t>
      </w:r>
    </w:p>
    <w:p>
      <w:pPr>
        <w:spacing w:before="0" w:after="0"/>
        <w:ind w:left="120"/>
        <w:jc w:val="center"/>
      </w:pPr>
      <w:r>
        <w:rPr>
          <w:rFonts w:ascii="Times New Roman" w:hAnsi="Times New Roman"/>
          <w:b w:val="false"/>
          <w:i w:val="false"/>
          <w:color w:val="000000"/>
          <w:sz w:val="21"/>
        </w:rPr>
        <w:t>[Filed 8/5/05, Notice 6/8/05—published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11/9/05, Notice 8/31/05—published 12/7/05, effective 1/11/06]</w:t>
      </w:r>
    </w:p>
    <w:p>
      <w:pPr>
        <w:spacing w:before="0" w:after="0"/>
        <w:ind w:left="120"/>
        <w:jc w:val="center"/>
      </w:pPr>
      <w:r>
        <w:rPr>
          <w:rFonts w:ascii="Times New Roman" w:hAnsi="Times New Roman"/>
          <w:b w:val="false"/>
          <w:i w:val="false"/>
          <w:color w:val="000000"/>
          <w:sz w:val="21"/>
        </w:rPr>
        <w:t>[Filed 2/3/06, Notice 12/7/05—published 3/1/06, effective 4/5/06]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9937B</w:t>
      </w:r>
      <w:r>
        <w:rPr>
          <w:rFonts w:ascii="Times New Roman" w:hAnsi="Times New Roman"/>
          <w:b w:val="false"/>
          <w:i w:val="false"/>
          <w:color w:val="000000"/>
          <w:sz w:val="21"/>
        </w:rPr>
        <w:t xml:space="preserve"> (Notice ARC 9673B, IAB 8/10/11)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1029C</w:t>
      </w:r>
      <w:r>
        <w:rPr>
          <w:rFonts w:ascii="Times New Roman" w:hAnsi="Times New Roman"/>
          <w:b w:val="false"/>
          <w:i w:val="false"/>
          <w:color w:val="000000"/>
          <w:sz w:val="21"/>
        </w:rPr>
        <w:t xml:space="preserve"> (Notice ARC 0834C, IAB 7/10/13)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1834C</w:t>
      </w:r>
      <w:r>
        <w:rPr>
          <w:rFonts w:ascii="Times New Roman" w:hAnsi="Times New Roman"/>
          <w:b w:val="false"/>
          <w:i w:val="false"/>
          <w:color w:val="000000"/>
          <w:sz w:val="21"/>
        </w:rPr>
        <w:t xml:space="preserve"> (Notice ARC 1730C,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5073C</w:t>
      </w:r>
      <w:r>
        <w:rPr>
          <w:rFonts w:ascii="Times New Roman" w:hAnsi="Times New Roman"/>
          <w:b w:val="false"/>
          <w:i w:val="false"/>
          <w:color w:val="000000"/>
          <w:sz w:val="21"/>
        </w:rPr>
        <w:t xml:space="preserve"> (Notice ARC 4934C,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5225C</w:t>
      </w:r>
      <w:r>
        <w:rPr>
          <w:rFonts w:ascii="Times New Roman" w:hAnsi="Times New Roman"/>
          <w:b w:val="false"/>
          <w:i w:val="false"/>
          <w:color w:val="000000"/>
          <w:sz w:val="21"/>
        </w:rPr>
        <w:t xml:space="preserve"> (Notice ARC 5002C, IAB 3/25/20)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5777C</w:t>
      </w:r>
      <w:r>
        <w:rPr>
          <w:rFonts w:ascii="Times New Roman" w:hAnsi="Times New Roman"/>
          <w:b w:val="false"/>
          <w:i w:val="false"/>
          <w:color w:val="000000"/>
          <w:sz w:val="21"/>
        </w:rPr>
        <w:t xml:space="preserve"> (Notice ARC 5451C,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5905C</w:t>
      </w:r>
      <w:r>
        <w:rPr>
          <w:rFonts w:ascii="Times New Roman" w:hAnsi="Times New Roman"/>
          <w:b w:val="false"/>
          <w:i w:val="false"/>
          <w:color w:val="000000"/>
          <w:sz w:val="21"/>
        </w:rPr>
        <w:t xml:space="preserve"> (Notice ARC 5617C, IAB 5/5/21)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6938C</w:t>
      </w:r>
      <w:r>
        <w:rPr>
          <w:rFonts w:ascii="Times New Roman" w:hAnsi="Times New Roman"/>
          <w:b w:val="false"/>
          <w:i w:val="false"/>
          <w:color w:val="000000"/>
          <w:sz w:val="21"/>
        </w:rPr>
        <w:t xml:space="preserve"> (Notice ARC 6769C, IAB 12/28/22)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7821C</w:t>
      </w:r>
      <w:r>
        <w:rPr>
          <w:rFonts w:ascii="Times New Roman" w:hAnsi="Times New Roman"/>
          <w:b w:val="false"/>
          <w:i w:val="false"/>
          <w:color w:val="000000"/>
          <w:sz w:val="21"/>
        </w:rPr>
        <w:t xml:space="preserve"> (Notice ARC 7288C,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ac/rule/481.885.11.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16.pdf" Type="http://schemas.openxmlformats.org/officeDocument/2006/relationships/hyperlink" Id="rId7"/>
    <Relationship TargetMode="External" Target="https://www.legis.iowa.gov/docs/iac/rule/645.240.3.pdf" Type="http://schemas.openxmlformats.org/officeDocument/2006/relationships/hyperlink" Id="rId8"/>
    <Relationship TargetMode="External" Target="http://www.nationalregister.org" Type="http://schemas.openxmlformats.org/officeDocument/2006/relationships/hyperlink" Id="rId9"/>
    <Relationship TargetMode="External" Target="http://www.naces.org" Type="http://schemas.openxmlformats.org/officeDocument/2006/relationships/hyperlink" Id="rId10"/>
    <Relationship TargetMode="External" Target="https://www.legis.iowa.gov/docs/iac/rule/645.240.3.pdf" Type="http://schemas.openxmlformats.org/officeDocument/2006/relationships/hyperlink" Id="rId11"/>
    <Relationship TargetMode="External" Target="https://www.legis.iowa.gov/docs/iac/rule/645.240.2.pdf" Type="http://schemas.openxmlformats.org/officeDocument/2006/relationships/hyperlink" Id="rId12"/>
    <Relationship TargetMode="External" Target="https://www.legis.iowa.gov/docs/iac/rule/481.885.3.pdf" Type="http://schemas.openxmlformats.org/officeDocument/2006/relationships/hyperlink" Id="rId13"/>
    <Relationship TargetMode="External" Target="https://www.legis.iowa.gov/docs/iac/rule/481.885.13.pdf" Type="http://schemas.openxmlformats.org/officeDocument/2006/relationships/hyperlink" Id="rId14"/>
    <Relationship TargetMode="External" Target="https://www.legis.iowa.gov/docs/iac/rule/645.240.6.pdf" Type="http://schemas.openxmlformats.org/officeDocument/2006/relationships/hyperlink" Id="rId15"/>
    <Relationship TargetMode="External" Target="https://www.legis.iowa.gov/docs/iac/rule/481.885.5.pdf" Type="http://schemas.openxmlformats.org/officeDocument/2006/relationships/hyperlink" Id="rId16"/>
    <Relationship TargetMode="External" Target="https://www.legis.iowa.gov/docs/iac/rule/481.507.16.pdf" Type="http://schemas.openxmlformats.org/officeDocument/2006/relationships/hyperlink" Id="rId17"/>
    <Relationship TargetMode="External" Target="https://www.legis.iowa.gov/docs/iac/rule/481.885.3.pdf" Type="http://schemas.openxmlformats.org/officeDocument/2006/relationships/hyperlink" Id="rId18"/>
    <Relationship TargetMode="External" Target="https://www.legis.iowa.gov/docs/iac/rule/481.507.16.pdf" Type="http://schemas.openxmlformats.org/officeDocument/2006/relationships/hyperlink" Id="rId19"/>
    <Relationship TargetMode="External" Target="https://www.legis.iowa.gov/docs/iac/rule/481.885.3.pdf" Type="http://schemas.openxmlformats.org/officeDocument/2006/relationships/hyperlink" Id="rId20"/>
    <Relationship TargetMode="External" Target="https://www.legis.iowa.gov/docs/iac/rule/481.507.16.pdf" Type="http://schemas.openxmlformats.org/officeDocument/2006/relationships/hyperlink" Id="rId21"/>
    <Relationship TargetMode="External" Target="https://www.legis.iowa.gov/docs/iac/rule/645.240.3.pdf" Type="http://schemas.openxmlformats.org/officeDocument/2006/relationships/hyperlink" Id="rId22"/>
    <Relationship TargetMode="External" Target="https://www.legis.iowa.gov/docs/iac/rule/481.501.1.pdf" Type="http://schemas.openxmlformats.org/officeDocument/2006/relationships/hyperlink" Id="rId23"/>
    <Relationship TargetMode="External" Target="https://www.legis.iowa.gov/docs/ico/chapter/154B.pdf" Type="http://schemas.openxmlformats.org/officeDocument/2006/relationships/hyperlink" Id="rId24"/>
    <Relationship TargetMode="External" Target="https://www.legis.iowa.gov/docs/iac/rule/481.507.16.pdf" Type="http://schemas.openxmlformats.org/officeDocument/2006/relationships/hyperlink" Id="rId25"/>
    <Relationship TargetMode="External" Target="https://www.legis.iowa.gov/docs/iac/rule/481.886.2.pdf" Type="http://schemas.openxmlformats.org/officeDocument/2006/relationships/hyperlink" Id="rId26"/>
    <Relationship TargetMode="External" Target="https://www.legis.iowa.gov/docs/ico/chapter/232.pdf" Type="http://schemas.openxmlformats.org/officeDocument/2006/relationships/hyperlink" Id="rId27"/>
    <Relationship TargetMode="External" Target="https://www.legis.iowa.gov/docs/ico/chapter/235B.pdf" Type="http://schemas.openxmlformats.org/officeDocument/2006/relationships/hyperlink" Id="rId28"/>
    <Relationship TargetMode="External" Target="https://www.legis.iowa.gov/docs/iac/rule/481.500.14.pdf" Type="http://schemas.openxmlformats.org/officeDocument/2006/relationships/hyperlink" Id="rId29"/>
    <Relationship TargetMode="External" Target="https://www.legis.iowa.gov/docs/iac/rule/481.507.16.pdf" Type="http://schemas.openxmlformats.org/officeDocument/2006/relationships/hyperlink" Id="rId30"/>
    <Relationship TargetMode="External" Target="https://www.legis.iowa.gov/docs/ico/chapter/147.pdf" Type="http://schemas.openxmlformats.org/officeDocument/2006/relationships/hyperlink" Id="rId31"/>
    <Relationship TargetMode="External" Target="https://www.legis.iowa.gov/docs/ico/chapter/147.pdf" Type="http://schemas.openxmlformats.org/officeDocument/2006/relationships/hyperlink" Id="rId32"/>
    <Relationship TargetMode="External" Target="https://www.legis.iowa.gov/docs/iac/chapter/481.507.pdf" Type="http://schemas.openxmlformats.org/officeDocument/2006/relationships/hyperlink" Id="rId33"/>
    <Relationship TargetMode="External" Target="https://www.legis.iowa.gov/docs/iac/rule/481.506.31.pdf" Type="http://schemas.openxmlformats.org/officeDocument/2006/relationships/hyperlink" Id="rId34"/>
    <Relationship TargetMode="External" Target="https://www.legis.iowa.gov/docs/iac/rule/481.885.14.pdf" Type="http://schemas.openxmlformats.org/officeDocument/2006/relationships/hyperlink" Id="rId35"/>
    <Relationship TargetMode="External" Target="https://www.legis.iowa.gov/docs/iac/rule/645.240.3.pdf" Type="http://schemas.openxmlformats.org/officeDocument/2006/relationships/hyperlink" Id="rId36"/>
    <Relationship TargetMode="External" Target="https://www.legis.iowa.gov/docs/iac/rule/481.885.6.pdf" Type="http://schemas.openxmlformats.org/officeDocument/2006/relationships/hyperlink" Id="rId37"/>
    <Relationship TargetMode="External" Target="https://www.legis.iowa.gov/docs/iac/rule/481.885.6.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147.pdf" Type="http://schemas.openxmlformats.org/officeDocument/2006/relationships/hyperlink" Id="rId40"/>
    <Relationship TargetMode="External" Target="https://www.legis.iowa.gov/docs/ico/chapter/272C.pdf" Type="http://schemas.openxmlformats.org/officeDocument/2006/relationships/hyperlink"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