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862</w:t>
      </w:r>
    </w:p>
    <w:p>
      <w:pPr>
        <w:spacing w:before="0" w:after="0"/>
        <w:ind w:left="120"/>
        <w:jc w:val="center"/>
      </w:pPr>
      <w:r>
        <w:rPr>
          <w:rFonts w:ascii="Times New Roman" w:hAnsi="Times New Roman"/>
          <w:b w:val="false"/>
          <w:i w:val="false"/>
          <w:color w:val="000000"/>
          <w:sz w:val="21"/>
        </w:rPr>
        <w:t>CONTINUING EDUCATION FOR ATHLETIC TRAINERS</w:t>
      </w:r>
    </w:p>
    <w:p>
      <w:pPr>
        <w:spacing w:before="0" w:after="0"/>
        <w:ind w:left="120"/>
        <w:jc w:val="center"/>
      </w:pPr>
      <w:r>
        <w:rPr>
          <w:rFonts w:ascii="Times New Roman" w:hAnsi="Times New Roman"/>
          <w:b w:val="false"/>
          <w:i w:val="false"/>
          <w:color w:val="000000"/>
          <w:sz w:val="14"/>
        </w:rPr>
        <w:t>[Prior to 9/18/24, see Professional Licensure Division[645] Ch 352]</w:t>
      </w:r>
    </w:p>
    <w:p>
      <w:pPr>
        <w:spacing w:before="0" w:after="0"/>
        <w:ind w:left="120"/>
        <w:jc w:val="both"/>
      </w:pPr>
      <w:r>
        <w:rPr>
          <w:rFonts w:ascii="Times New Roman" w:hAnsi="Times New Roman"/>
          <w:b/>
          <w:i w:val="false"/>
          <w:color w:val="000000"/>
          <w:sz w:val="22"/>
        </w:rPr>
        <w:t>481—862.1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481—862.2</w:t>
      </w:r>
      <w:r>
        <w:rPr>
          <w:rFonts w:ascii="Times New Roman" w:hAnsi="Times New Roman"/>
          <w:b/>
          <w:i w:val="false"/>
          <w:color w:val="000000"/>
          <w:sz w:val="22"/>
        </w:rPr>
        <w:t xml:space="preserve">(152D)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continuing education compliance period shall extend for a two-year period beginning on March 1 of each odd-numbered year and ending on February 28 of the next odd-numbered year. Each biennium, each person who is licensed to practice as an athletic trainer in this state will have the responsibility to finance the cost and be required to maintain BOC certification or complete a minimum of 40 hours of continuing education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new licensees. Those persons licensed for the first time or being licensed for the first time after a temporary license shall not be required to complete continuing education as a prerequisite for the first renewal of their licenses. Continuing education hours acquired any time from the initial licensing until the second license renewal may be used. The new licensee will be required to maintain BOC certification or complete a minimum of 40 hours of continuing education per biennium for each subsequent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481—862.3</w:t>
      </w:r>
      <w:r>
        <w:rPr>
          <w:rFonts w:ascii="Times New Roman" w:hAnsi="Times New Roman"/>
          <w:b/>
          <w:i w:val="false"/>
          <w:color w:val="000000"/>
          <w:sz w:val="22"/>
        </w:rPr>
        <w:t xml:space="preserve">(152D,272C)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may be obtained through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 course provided by a BOC-approved provider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A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of this chapter.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nor does it include presentations to the lay public. A licensee may be granted no more than ten hours of continuing education credit per biennium for presenting professional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athletic training must be maintained for audit.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trimester hour = 12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10/18/00—published 1/10/01, effective 2/14/01]</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6265C</w:t>
      </w:r>
      <w:r>
        <w:rPr>
          <w:rFonts w:ascii="Times New Roman" w:hAnsi="Times New Roman"/>
          <w:b w:val="false"/>
          <w:i w:val="false"/>
          <w:color w:val="000000"/>
          <w:sz w:val="21"/>
        </w:rPr>
        <w:t xml:space="preserve"> (Notice ARC 6027C, IAB 11/3/21)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7929C</w:t>
      </w:r>
      <w:r>
        <w:rPr>
          <w:rFonts w:ascii="Times New Roman" w:hAnsi="Times New Roman"/>
          <w:b w:val="false"/>
          <w:i w:val="false"/>
          <w:color w:val="000000"/>
          <w:sz w:val="21"/>
        </w:rPr>
        <w:t xml:space="preserve"> (Notice ARC 7554C,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52D.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