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ATHLETIC TRAINING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861</w:t>
      </w:r>
    </w:p>
    <w:p>
      <w:pPr>
        <w:spacing w:before="0" w:after="0"/>
        <w:ind w:left="120"/>
        <w:jc w:val="center"/>
      </w:pPr>
      <w:r>
        <w:rPr>
          <w:rFonts w:ascii="Times New Roman" w:hAnsi="Times New Roman"/>
          <w:b w:val="false"/>
          <w:i w:val="false"/>
          <w:color w:val="000000"/>
          <w:sz w:val="21"/>
        </w:rPr>
        <w:t>LICENSURE OF ATHLETIC TRAINERS</w:t>
      </w:r>
    </w:p>
    <w:p>
      <w:pPr>
        <w:spacing w:before="0" w:after="0"/>
        <w:ind w:left="120"/>
        <w:jc w:val="center"/>
      </w:pPr>
      <w:r>
        <w:rPr>
          <w:rFonts w:ascii="Times New Roman" w:hAnsi="Times New Roman"/>
          <w:b w:val="false"/>
          <w:i w:val="false"/>
          <w:color w:val="000000"/>
          <w:sz w:val="14"/>
        </w:rPr>
        <w:t>[Prior to 4/17/02, see rules 645—350.6(147,152D) to 645—350.10(147,152D)]</w:t>
      </w:r>
    </w:p>
    <w:p>
      <w:pPr>
        <w:spacing w:before="0" w:after="0"/>
        <w:ind w:left="120"/>
        <w:jc w:val="center"/>
      </w:pPr>
      <w:r>
        <w:rPr>
          <w:rFonts w:ascii="Times New Roman" w:hAnsi="Times New Roman"/>
          <w:b w:val="false"/>
          <w:i w:val="false"/>
          <w:color w:val="000000"/>
          <w:sz w:val="14"/>
        </w:rPr>
        <w:t>[Prior to 9/18/24, see Professional Licensure Division[645] Ch 351]</w:t>
      </w:r>
    </w:p>
    <w:p>
      <w:pPr>
        <w:spacing w:before="0" w:after="0"/>
        <w:ind w:left="120"/>
        <w:jc w:val="both"/>
      </w:pPr>
      <w:r>
        <w:rPr>
          <w:rFonts w:ascii="Times New Roman" w:hAnsi="Times New Roman"/>
          <w:b/>
          <w:i w:val="false"/>
          <w:color w:val="000000"/>
          <w:sz w:val="22"/>
        </w:rPr>
        <w:t>481—861.1</w:t>
      </w:r>
      <w:r>
        <w:rPr>
          <w:rFonts w:ascii="Times New Roman" w:hAnsi="Times New Roman"/>
          <w:b/>
          <w:i w:val="false"/>
          <w:color w:val="000000"/>
          <w:sz w:val="22"/>
        </w:rPr>
        <w:t xml:space="preserve">(152D)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 </w:t>
      </w:r>
      <w:hyperlink r:id="rId4">
        <w:r>
          <w:rPr>
            <w:rStyle w:val="Hyperlink"/>
            <w:rFonts w:ascii="Times New Roman" w:hAnsi="Times New Roman"/>
            <w:b w:val="false"/>
            <w:i w:val="false"/>
            <w:color w:val="000000"/>
            <w:sz w:val="22"/>
          </w:rPr>
          <w:t>152D.1</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athletic training created under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“Directing physician” </w:t>
      </w:r>
      <w:r>
        <w:rPr>
          <w:rFonts w:ascii="Times New Roman" w:hAnsi="Times New Roman"/>
          <w:b w:val="false"/>
          <w:i w:val="false"/>
          <w:color w:val="000000"/>
          <w:sz w:val="22"/>
        </w:rPr>
        <w:t>means a physician who supervises the athletic training services provided by a licensed athletic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“Direction” </w:t>
      </w:r>
      <w:r>
        <w:rPr>
          <w:rFonts w:ascii="Times New Roman" w:hAnsi="Times New Roman"/>
          <w:b w:val="false"/>
          <w:i w:val="false"/>
          <w:color w:val="000000"/>
          <w:sz w:val="22"/>
        </w:rPr>
        <w:t xml:space="preserve">means that a physician directs the performance of a licensed athletic trainer in the development, implementation, and evaluation of an athletic training service plan as set out in rule </w:t>
      </w:r>
      <w:hyperlink r:id="rId6">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 xml:space="preserve">(152D). Direction shall not be construed as requiring the personal presence of that physician at each activity of the licensed athletic trainer. It is the responsibility of the licensed athletic trainer to ensure that the practice of athletic training is carried out only under the direction of a licensed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the issuance of an Iowa license to practice athletic training to an applicant who is currently licensed in another state that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athletic trainer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February 28 of each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7">
        <w:r>
          <w:rPr>
            <w:rStyle w:val="Hyperlink"/>
            <w:rFonts w:ascii="Times New Roman" w:hAnsi="Times New Roman"/>
            <w:b w:val="false"/>
            <w:i w:val="false"/>
            <w:color w:val="000000"/>
            <w:sz w:val="22"/>
          </w:rPr>
          <w:t>323.69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reconditioning” </w:t>
      </w:r>
      <w:r>
        <w:rPr>
          <w:rFonts w:ascii="Times New Roman" w:hAnsi="Times New Roman"/>
          <w:b w:val="false"/>
          <w:i w:val="false"/>
          <w:color w:val="000000"/>
          <w:sz w:val="22"/>
        </w:rPr>
        <w:t>means the part of the practice of athletic training that combines physical treatment, rehabilitation and exercise and is carried out under the orders of a physician or physician assistant. Physical treatment is part of a service plan that includes but is not limited to the continued use of any of the following: cryotherapy, thermotherapy, hydrotherapy, electrotherapy, or the use of mechanical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osteopathic medicine and surgery, osteopathy, chiropractic, or podiatry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481—861.15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481—861.2</w:t>
      </w:r>
      <w:r>
        <w:rPr>
          <w:rFonts w:ascii="Times New Roman" w:hAnsi="Times New Roman"/>
          <w:b/>
          <w:i w:val="false"/>
          <w:color w:val="000000"/>
          <w:sz w:val="22"/>
        </w:rPr>
        <w:t xml:space="preserve">(152D)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861.2(1)</w:t>
      </w:r>
      <w:r>
        <w:rPr>
          <w:rFonts w:ascii="Times New Roman" w:hAnsi="Times New Roman"/>
          <w:b w:val="false"/>
          <w:i w:val="false"/>
          <w:color w:val="000000"/>
          <w:sz w:val="22"/>
        </w:rPr>
        <w:t> </w:t>
      </w:r>
      <w:r>
        <w:rPr>
          <w:rFonts w:ascii="Times New Roman" w:hAnsi="Times New Roman"/>
          <w:b w:val="false"/>
          <w:i w:val="false"/>
          <w:color w:val="000000"/>
          <w:sz w:val="22"/>
        </w:rPr>
        <w:t>Requirements for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11">
        <w:r>
          <w:rPr>
            <w:rStyle w:val="Hyperlink"/>
            <w:rFonts w:ascii="Times New Roman" w:hAnsi="Times New Roman"/>
            <w:b w:val="false"/>
            <w:i w:val="false"/>
            <w:color w:val="000000"/>
            <w:sz w:val="22"/>
          </w:rPr>
          <w:t>481—507.1</w:t>
        </w:r>
      </w:hyperlink>
      <w:r>
        <w:rPr>
          <w:rFonts w:ascii="Times New Roman" w:hAnsi="Times New Roman"/>
          <w:b w:val="false"/>
          <w:i w:val="false"/>
          <w:color w:val="000000"/>
          <w:sz w:val="22"/>
        </w:rPr>
        <w:t>(147,152D). 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of athletic training.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the BOC examination. It is the responsibility of the applicant to make arrangements to take the examination and have the official results submitted to the Iowa board of athletic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861.2(2)</w:t>
      </w:r>
      <w:r>
        <w:rPr>
          <w:rFonts w:ascii="Times New Roman" w:hAnsi="Times New Roman"/>
          <w:b w:val="false"/>
          <w:i w:val="false"/>
          <w:color w:val="000000"/>
          <w:sz w:val="22"/>
        </w:rPr>
        <w:t> </w:t>
      </w:r>
      <w:r>
        <w:rPr>
          <w:rFonts w:ascii="Times New Roman" w:hAnsi="Times New Roman"/>
          <w:b w:val="false"/>
          <w:i w:val="false"/>
          <w:color w:val="000000"/>
          <w:sz w:val="22"/>
        </w:rPr>
        <w:t>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861.2(3)</w:t>
      </w:r>
      <w:r>
        <w:rPr>
          <w:rFonts w:ascii="Times New Roman" w:hAnsi="Times New Roman"/>
          <w:b w:val="false"/>
          <w:i w:val="false"/>
          <w:color w:val="000000"/>
          <w:sz w:val="22"/>
        </w:rPr>
        <w:t> </w:t>
      </w:r>
      <w:r>
        <w:rPr>
          <w:rFonts w:ascii="Times New Roman" w:hAnsi="Times New Roman"/>
          <w:b w:val="false"/>
          <w:i w:val="false"/>
          <w:color w:val="000000"/>
          <w:sz w:val="22"/>
        </w:rPr>
        <w:t>Licensure by endorsement. An athletic trainer applicant who holds a license from the District of Columbia or another state, territory, province or foreign country may be eligible for licensure by endorsement and may direct the BOC to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certification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on the examination of the BOCs.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481—861.3</w:t>
      </w:r>
      <w:r>
        <w:rPr>
          <w:rFonts w:ascii="Times New Roman" w:hAnsi="Times New Roman"/>
          <w:b/>
          <w:i w:val="false"/>
          <w:color w:val="000000"/>
          <w:sz w:val="22"/>
        </w:rPr>
        <w:t xml:space="preserve">(152D)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athletic trainer shall possess a baccalaureate degree or postbaccalaureate degree from a U.S.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861.3(2)</w:t>
      </w:r>
      <w:r>
        <w:rPr>
          <w:rFonts w:ascii="Times New Roman" w:hAnsi="Times New Roman"/>
          <w:b w:val="false"/>
          <w:i w:val="false"/>
          <w:color w:val="000000"/>
          <w:sz w:val="22"/>
        </w:rPr>
        <w:t> </w:t>
      </w:r>
      <w:r>
        <w:rPr>
          <w:rFonts w:ascii="Times New Roman" w:hAnsi="Times New Roman"/>
          <w:b w:val="false"/>
          <w:i w:val="false"/>
          <w:color w:val="000000"/>
          <w:sz w:val="22"/>
        </w:rPr>
        <w:t>Foreign-trained athletic trainers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International Education Research Foundation, Inc., Credentials Evaluation Service, P.O. Box 3665, Culver City, CA 90231-3665; telephone 310.258.9451; website </w:t>
      </w:r>
      <w:hyperlink r:id="rId13">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4">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The professional curriculum must be equivalent to that stated in these rules. A candidate shall bear the expense of the curriculum evaluation.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an athletic training program in the country in which the applicant was educated.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 the BOC examination. Official results are to be submitted directly to the board from the BOC.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5">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481—861.4</w:t>
      </w:r>
      <w:r>
        <w:rPr>
          <w:rFonts w:ascii="Times New Roman" w:hAnsi="Times New Roman"/>
          <w:b/>
          <w:i w:val="false"/>
          <w:color w:val="000000"/>
          <w:sz w:val="22"/>
        </w:rPr>
        <w:t xml:space="preserve">(152D)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required by the board shall be the BOC examination. Application and information may be obtained from the BOC Offices, 1411 Harney Street, Suite 200, Omaha, NE 68102; telephone 402.559.0091; website </w:t>
      </w:r>
      <w:hyperlink r:id="rId16">
        <w:r>
          <w:rPr>
            <w:rStyle w:val="Hyperlink"/>
            <w:rFonts w:ascii="Times New Roman" w:hAnsi="Times New Roman"/>
            <w:b w:val="false"/>
            <w:i w:val="false"/>
            <w:color w:val="000000"/>
            <w:sz w:val="22"/>
            <w:u w:val="single"/>
          </w:rPr>
          <w:t>www.bocatc.org</w:t>
        </w:r>
      </w:hyperlink>
      <w:r>
        <w:rPr>
          <w:rFonts w:ascii="Times New Roman" w:hAnsi="Times New Roman"/>
          <w:b w:val="false"/>
          <w:i w:val="false"/>
          <w:color w:val="000000"/>
          <w:sz w:val="22"/>
        </w:rPr>
        <w:t xml:space="preserve"> or email at </w:t>
      </w:r>
      <w:hyperlink r:id="rId17">
        <w:r>
          <w:rPr>
            <w:rStyle w:val="Hyperlink"/>
            <w:rFonts w:ascii="Times New Roman" w:hAnsi="Times New Roman"/>
            <w:b w:val="false"/>
            <w:i w:val="false"/>
            <w:color w:val="000000"/>
            <w:sz w:val="22"/>
            <w:u w:val="single"/>
          </w:rPr>
          <w:t>BOC@bocatc.org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national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scores sent directly to the board from BOC.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481—861.5</w:t>
      </w:r>
      <w:r>
        <w:rPr>
          <w:rFonts w:ascii="Times New Roman" w:hAnsi="Times New Roman"/>
          <w:b/>
          <w:i w:val="false"/>
          <w:color w:val="000000"/>
          <w:sz w:val="22"/>
        </w:rPr>
        <w:t xml:space="preserve">(152D) </w:t>
      </w:r>
      <w:r>
        <w:rPr>
          <w:rFonts w:ascii="Times New Roman" w:hAnsi="Times New Roman"/>
          <w:b/>
          <w:i w:val="false"/>
          <w:color w:val="000000"/>
          <w:sz w:val="22"/>
        </w:rPr>
        <w:t xml:space="preserve">Documentation of physician direction. </w:t>
      </w:r>
      <w:r>
        <w:rPr>
          <w:rFonts w:ascii="Times New Roman" w:hAnsi="Times New Roman"/>
          <w:b w:val="false"/>
          <w:i w:val="false"/>
          <w:color w:val="000000"/>
          <w:sz w:val="22"/>
        </w:rPr>
        <w:t>Each licensee must maintain documentation of physician direction. It is the responsibility of the licensee to ensure that documentation of physician direction is obtained and maintained, including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Athletic training service plan as set out in rule </w:t>
      </w:r>
      <w:hyperlink r:id="rId18">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(152D);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and names of physician and physician assistant orders or referrals;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Initial evaluations and assessments;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Treatments and services rendered, with dates;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Dates of subsequent follow-up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481—861.6</w:t>
      </w:r>
      <w:r>
        <w:rPr>
          <w:rFonts w:ascii="Times New Roman" w:hAnsi="Times New Roman"/>
          <w:b/>
          <w:i w:val="false"/>
          <w:color w:val="000000"/>
          <w:sz w:val="22"/>
        </w:rPr>
        <w:t xml:space="preserve">(152D) </w:t>
      </w:r>
      <w:r>
        <w:rPr>
          <w:rFonts w:ascii="Times New Roman" w:hAnsi="Times New Roman"/>
          <w:b/>
          <w:i w:val="false"/>
          <w:color w:val="000000"/>
          <w:sz w:val="22"/>
        </w:rPr>
        <w:t xml:space="preserve">Athletic training standards of professional practice. </w:t>
      </w:r>
      <w:r>
        <w:rPr>
          <w:rFonts w:ascii="Times New Roman" w:hAnsi="Times New Roman"/>
          <w:b w:val="false"/>
          <w:i w:val="false"/>
          <w:color w:val="000000"/>
          <w:sz w:val="22"/>
        </w:rPr>
        <w:t>Athletic training service plans shall be composed of the following components as taken from the Board of Certification Standards of Professional Practice (January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val="false"/>
          <w:color w:val="000000"/>
          <w:sz w:val="22"/>
        </w:rPr>
        <w:t>Practice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val="false"/>
          <w:color w:val="000000"/>
          <w:sz w:val="22"/>
        </w:rPr>
        <w:t xml:space="preserve">Code of Professional Responsibility.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481—861.7</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athletic training shall begin on March 1 of each odd-numbered year and end on February 28 of the next odd-numbered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9">
        <w:r>
          <w:rPr>
            <w:rStyle w:val="Hyperlink"/>
            <w:rFonts w:ascii="Times New Roman" w:hAnsi="Times New Roman"/>
            <w:b w:val="false"/>
            <w:i w:val="false"/>
            <w:color w:val="000000"/>
            <w:sz w:val="22"/>
          </w:rPr>
          <w:t>481—862.2</w:t>
        </w:r>
      </w:hyperlink>
      <w:r>
        <w:rPr>
          <w:rFonts w:ascii="Times New Roman" w:hAnsi="Times New Roman"/>
          <w:b w:val="false"/>
          <w:i w:val="false"/>
          <w:color w:val="000000"/>
          <w:sz w:val="22"/>
        </w:rPr>
        <w:t xml:space="preserve">(152D) and the mandatory reporting requirements of subrule </w:t>
      </w:r>
      <w:r>
        <w:rPr>
          <w:rFonts w:ascii="Times New Roman" w:hAnsi="Times New Roman"/>
          <w:b w:val="false"/>
          <w:i w:val="false"/>
          <w:color w:val="000000"/>
          <w:sz w:val="22"/>
        </w:rPr>
        <w:t>861.9(4)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20">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2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an athletic trainer shall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22">
        <w:r>
          <w:rPr>
            <w:rStyle w:val="Hyperlink"/>
            <w:rFonts w:ascii="Times New Roman" w:hAnsi="Times New Roman"/>
            <w:b w:val="false"/>
            <w:i w:val="false"/>
            <w:color w:val="000000"/>
            <w:sz w:val="22"/>
          </w:rPr>
          <w:t>481—subrule 507.1(4)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athletic trainer in Iowa until the license is reactivated. A licensee who practices as an athletic trainer in the state of Iowa with an inactive license may be subject to disciplinary action by the board, injunctive action pursuant to Iowa Code section </w:t>
      </w:r>
      <w:hyperlink r:id="rId2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5">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an athletic trainer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BOC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sworn statement of previous practice from an employer or professional associate, detailing places and dates of employment and verifying that the applicant worked as an athletic trainer for at least 2,080 hours or taught as the equivalent of a full-time faculty member for at least one of the immediately preceding years during the last two-year time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7">
        <w:r>
          <w:rPr>
            <w:rStyle w:val="Hyperlink"/>
            <w:rFonts w:ascii="Times New Roman" w:hAnsi="Times New Roman"/>
            <w:b w:val="false"/>
            <w:i w:val="false"/>
            <w:color w:val="000000"/>
            <w:sz w:val="22"/>
          </w:rPr>
          <w:t>481—861.15</w:t>
        </w:r>
      </w:hyperlink>
      <w:r>
        <w:rPr>
          <w:rFonts w:ascii="Times New Roman" w:hAnsi="Times New Roman"/>
          <w:b w:val="false"/>
          <w:i w:val="false"/>
          <w:color w:val="000000"/>
          <w:sz w:val="22"/>
        </w:rPr>
        <w:t>(17A,147,272C) prior to practicing as an athletic trainer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9/26/02, Notice 7/10/02—published 10/16/02, effective 11/20/02]</w:t>
      </w:r>
    </w:p>
    <w:p>
      <w:pPr>
        <w:spacing w:before="0" w:after="0"/>
        <w:ind w:left="120"/>
        <w:jc w:val="center"/>
      </w:pPr>
      <w:r>
        <w:rPr>
          <w:rFonts w:ascii="Times New Roman" w:hAnsi="Times New Roman"/>
          <w:b w:val="false"/>
          <w:i w:val="false"/>
          <w:color w:val="000000"/>
          <w:sz w:val="21"/>
        </w:rPr>
        <w:t>[Filed 6/17/04, Notice 4/14/04—published 7/7/04, effective 8/11/04]</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[Filed 12/20/05, Notice 10/12/05—published 1/18/06, effective 2/22/06]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9967B</w:t>
      </w:r>
      <w:r>
        <w:rPr>
          <w:rFonts w:ascii="Times New Roman" w:hAnsi="Times New Roman"/>
          <w:b w:val="false"/>
          <w:i w:val="false"/>
          <w:color w:val="000000"/>
          <w:sz w:val="21"/>
        </w:rPr>
        <w:t xml:space="preserve"> (Notice ARC 9677B, IAB 8/24/11)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3560C</w:t>
      </w:r>
      <w:r>
        <w:rPr>
          <w:rFonts w:ascii="Times New Roman" w:hAnsi="Times New Roman"/>
          <w:b w:val="false"/>
          <w:i w:val="false"/>
          <w:color w:val="000000"/>
          <w:sz w:val="21"/>
        </w:rPr>
        <w:t xml:space="preserve"> (Notice ARC 3363C,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4982C</w:t>
      </w:r>
      <w:r>
        <w:rPr>
          <w:rFonts w:ascii="Times New Roman" w:hAnsi="Times New Roman"/>
          <w:b w:val="false"/>
          <w:i w:val="false"/>
          <w:color w:val="000000"/>
          <w:sz w:val="21"/>
        </w:rPr>
        <w:t xml:space="preserve"> (Notice ARC 4690C, IAB 10/9/19)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5753C</w:t>
      </w:r>
      <w:r>
        <w:rPr>
          <w:rFonts w:ascii="Times New Roman" w:hAnsi="Times New Roman"/>
          <w:b w:val="false"/>
          <w:i w:val="false"/>
          <w:color w:val="000000"/>
          <w:sz w:val="21"/>
        </w:rPr>
        <w:t xml:space="preserve"> (Notice ARC 5461C,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7928C</w:t>
      </w:r>
      <w:r>
        <w:rPr>
          <w:rFonts w:ascii="Times New Roman" w:hAnsi="Times New Roman"/>
          <w:b w:val="false"/>
          <w:i w:val="false"/>
          <w:color w:val="000000"/>
          <w:sz w:val="21"/>
        </w:rPr>
        <w:t xml:space="preserve"> (Notice ARC 7553C,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D.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ac/rule/481.861.6.pdf" Type="http://schemas.openxmlformats.org/officeDocument/2006/relationships/hyperlink" Id="rId6"/>
    <Relationship TargetMode="External" Target="https://www.legis.iowa.gov/docs/ico/chapter/323.pdf" Type="http://schemas.openxmlformats.org/officeDocument/2006/relationships/hyperlink" Id="rId7"/>
    <Relationship TargetMode="External" Target="https://www.legis.iowa.gov/docs/ico/chapter/235B.pdf" Type="http://schemas.openxmlformats.org/officeDocument/2006/relationships/hyperlink" Id="rId8"/>
    <Relationship TargetMode="External" Target="https://www.legis.iowa.gov/docs/iac/rule/481.861.15.pdf" Type="http://schemas.openxmlformats.org/officeDocument/2006/relationships/hyperlink" Id="rId9"/>
    <Relationship TargetMode="External" Target="https://www.legis.iowa.gov/docs/iac/rule/481.506.31.pdf" Type="http://schemas.openxmlformats.org/officeDocument/2006/relationships/hyperlink" Id="rId10"/>
    <Relationship TargetMode="External" Target="https://www.legis.iowa.gov/docs/iac/rule/481.507.1.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www.ierf.org" Type="http://schemas.openxmlformats.org/officeDocument/2006/relationships/hyperlink" Id="rId13"/>
    <Relationship TargetMode="External" Target="mailto:info@ierf.org" Type="http://schemas.openxmlformats.org/officeDocument/2006/relationships/hyperlink" Id="rId14"/>
    <Relationship TargetMode="External" Target="https://www.legis.iowa.gov/docs/iac/rule/481.501.2.pdf" Type="http://schemas.openxmlformats.org/officeDocument/2006/relationships/hyperlink" Id="rId15"/>
    <Relationship TargetMode="External" Target="http://www.bocatc.org" Type="http://schemas.openxmlformats.org/officeDocument/2006/relationships/hyperlink" Id="rId16"/>
    <Relationship TargetMode="External" Target="mailto:BOC@bocatc.org" Type="http://schemas.openxmlformats.org/officeDocument/2006/relationships/hyperlink" Id="rId17"/>
    <Relationship TargetMode="External" Target="https://www.legis.iowa.gov/docs/iac/rule/481.861.6.pdf" Type="http://schemas.openxmlformats.org/officeDocument/2006/relationships/hyperlink" Id="rId18"/>
    <Relationship TargetMode="External" Target="https://www.legis.iowa.gov/docs/iac/rule/481.862.2.pdf" Type="http://schemas.openxmlformats.org/officeDocument/2006/relationships/hyperlink" Id="rId19"/>
    <Relationship TargetMode="External" Target="https://www.legis.iowa.gov/docs/ico/chapter/232.pdf" Type="http://schemas.openxmlformats.org/officeDocument/2006/relationships/hyperlink" Id="rId20"/>
    <Relationship TargetMode="External" Target="https://www.legis.iowa.gov/docs/ico/chapter/235B.pdf" Type="http://schemas.openxmlformats.org/officeDocument/2006/relationships/hyperlink" Id="rId21"/>
    <Relationship TargetMode="External" Target="https://www.legis.iowa.gov/docs/iac/rule/481.507.1.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ac/chapter/481.507.pdf" Type="http://schemas.openxmlformats.org/officeDocument/2006/relationships/hyperlink" Id="rId25"/>
    <Relationship TargetMode="External" Target="https://www.legis.iowa.gov/docs/iac/rule/481.506.31.pdf" Type="http://schemas.openxmlformats.org/officeDocument/2006/relationships/hyperlink" Id="rId26"/>
    <Relationship TargetMode="External" Target="https://www.legis.iowa.gov/docs/iac/rule/481.861.15.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147.pdf" Type="http://schemas.openxmlformats.org/officeDocument/2006/relationships/hyperlink" Id="rId29"/>
    <Relationship TargetMode="External" Target="https://www.legis.iowa.gov/docs/ico/chapter/152D.pdf" Type="http://schemas.openxmlformats.org/officeDocument/2006/relationships/hyperlink" Id="rId30"/>
    <Relationship TargetMode="External" Target="https://www.legis.iowa.gov/docs/ico/chapter/272C.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