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845</w:t>
      </w:r>
    </w:p>
    <w:p>
      <w:pPr>
        <w:spacing w:before="0" w:after="0"/>
        <w:ind w:left="120"/>
        <w:jc w:val="center"/>
      </w:pPr>
      <w:r>
        <w:rPr>
          <w:rFonts w:ascii="Times New Roman" w:hAnsi="Times New Roman"/>
          <w:b w:val="false"/>
          <w:i w:val="false"/>
          <w:color w:val="000000"/>
          <w:sz w:val="21"/>
        </w:rPr>
        <w:t>DISCIPLINE FOR CHIROPRACTIC PHYSICIANS</w:t>
      </w:r>
    </w:p>
    <w:p>
      <w:pPr>
        <w:spacing w:before="0" w:after="0"/>
        <w:ind w:left="120"/>
        <w:jc w:val="center"/>
      </w:pPr>
      <w:r>
        <w:rPr>
          <w:rFonts w:ascii="Times New Roman" w:hAnsi="Times New Roman"/>
          <w:b w:val="false"/>
          <w:i w:val="false"/>
          <w:color w:val="000000"/>
          <w:sz w:val="14"/>
        </w:rPr>
        <w:t>[Prior to 7/24/02, see 645—Ch 44]</w:t>
      </w:r>
    </w:p>
    <w:p>
      <w:pPr>
        <w:spacing w:before="0" w:after="0"/>
        <w:ind w:left="120"/>
        <w:jc w:val="center"/>
      </w:pPr>
      <w:r>
        <w:rPr>
          <w:rFonts w:ascii="Times New Roman" w:hAnsi="Times New Roman"/>
          <w:b w:val="false"/>
          <w:i w:val="false"/>
          <w:color w:val="000000"/>
          <w:sz w:val="14"/>
        </w:rPr>
        <w:t>[Prior to 9/18/24, see Professional Licensure Division[645] Ch 45]</w:t>
      </w:r>
    </w:p>
    <w:p>
      <w:pPr>
        <w:spacing w:before="0" w:after="0"/>
        <w:ind w:left="120"/>
        <w:jc w:val="both"/>
      </w:pPr>
      <w:r>
        <w:rPr>
          <w:rFonts w:ascii="Times New Roman" w:hAnsi="Times New Roman"/>
          <w:b/>
          <w:i w:val="false"/>
          <w:color w:val="000000"/>
          <w:sz w:val="22"/>
        </w:rPr>
        <w:t>481—845.1</w:t>
      </w:r>
      <w:r>
        <w:rPr>
          <w:rFonts w:ascii="Times New Roman" w:hAnsi="Times New Roman"/>
          <w:b/>
          <w:i w:val="false"/>
          <w:color w:val="000000"/>
          <w:sz w:val="22"/>
        </w:rPr>
        <w:t xml:space="preserve">(151,272C)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impose any of the disciplinary sanctions provided in rule </w:t>
      </w:r>
      <w:hyperlink r:id="rId4">
        <w:r>
          <w:rPr>
            <w:rStyle w:val="Hyperlink"/>
            <w:rFonts w:ascii="Times New Roman" w:hAnsi="Times New Roman"/>
            <w:b w:val="false"/>
            <w:i w:val="false"/>
            <w:color w:val="000000"/>
            <w:sz w:val="22"/>
          </w:rPr>
          <w:t>481—504.3</w:t>
        </w:r>
      </w:hyperlink>
      <w:r>
        <w:rPr>
          <w:rFonts w:ascii="Times New Roman" w:hAnsi="Times New Roman"/>
          <w:b w:val="false"/>
          <w:i w:val="false"/>
          <w:color w:val="000000"/>
          <w:sz w:val="22"/>
        </w:rPr>
        <w:t xml:space="preserve">(272C) when the board determines that the licensee is guilty of any of the following acts or offenses or those listed in </w:t>
      </w:r>
      <w:hyperlink r:id="rId5">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845.1(1)</w:t>
      </w:r>
      <w:r>
        <w:rPr>
          <w:rFonts w:ascii="Times New Roman" w:hAnsi="Times New Roman"/>
          <w:b w:val="false"/>
          <w:i w:val="false"/>
          <w:color w:val="000000"/>
          <w:sz w:val="22"/>
        </w:rPr>
        <w:t> </w:t>
      </w:r>
      <w:r>
        <w:rPr>
          <w:rFonts w:ascii="Times New Roman" w:hAnsi="Times New Roman"/>
          <w:b w:val="false"/>
          <w:i w:val="false"/>
          <w:color w:val="000000"/>
          <w:sz w:val="22"/>
        </w:rPr>
        <w:t xml:space="preserve">Knowingly making misleading, deceptive, untrue or fraudulent representations in the practice of the profession or engaging in unethical conduct or practice harmful or detrimental to the public. This includes representations utilizing the term “physical therapy” when informing the public of the services offered by the chiropractic physician unless a licensed physical therapist is performing such services. Nothing herein will be construed as prohibiting a chiropractic physician from making representations regarding physiotherapy that may be the same as, or similar to, physical therapy or physical medicine as long as treatment is appropriate as authorized in Iowa Code chapter </w:t>
      </w:r>
      <w:hyperlink r:id="rId6">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845.1(2)</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advertisements and marketing. Use of untruthful or improbable statements in advertisements includes but is not limited to an action by a licensee in making information or intention known to the public that is false, deceptive, misleading or promoted through fraud or misrepresentation, or representations that are likely to cause the average person to misunderstand. The term “advertisements” includes oral, written, electronic, and other types of communication disseminated by or at the direction of a licensee for the purpose of encouraging or soliciting the use of the licensee’s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845.1(3)</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Violate the provisions of direct health care agreements pursuant to Iowa Code section </w:t>
      </w:r>
      <w:hyperlink r:id="rId7">
        <w:r>
          <w:rPr>
            <w:rStyle w:val="Hyperlink"/>
            <w:rFonts w:ascii="Times New Roman" w:hAnsi="Times New Roman"/>
            <w:b w:val="false"/>
            <w:i w:val="false"/>
            <w:color w:val="000000"/>
            <w:sz w:val="22"/>
          </w:rPr>
          <w:t>135N.1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845.1(4)</w:t>
      </w:r>
      <w:r>
        <w:rPr>
          <w:rFonts w:ascii="Times New Roman" w:hAnsi="Times New Roman"/>
          <w:b w:val="false"/>
          <w:i w:val="false"/>
          <w:color w:val="000000"/>
          <w:sz w:val="22"/>
        </w:rPr>
        <w:t> </w:t>
      </w:r>
      <w:r>
        <w:rPr>
          <w:rFonts w:ascii="Times New Roman" w:hAnsi="Times New Roman"/>
          <w:b w:val="false"/>
          <w:i w:val="false"/>
          <w:color w:val="000000"/>
          <w:sz w:val="22"/>
        </w:rPr>
        <w:t>Failure to maintain a patient’s record(s) for a minimum of six years after the date of last examination or treatment. Records for minors shall be maintained for one year after the patient reaches the age of majority (18) or six years after the date of last examination or treatment, whichever is longer. Proper safeguards shall be maintained to ensure the safety of records from destructive elements. This provision includes both clinical and fiscal records.</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12/8/00, Notice 10/18/00—published 12/27/00, effective 1/31/01</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9/27/01, Notice 6/13/01—published 10/17/01, effective 11/21/01]</w:t>
      </w:r>
    </w:p>
    <w:p>
      <w:pPr>
        <w:spacing w:before="0" w:after="0"/>
        <w:ind w:left="120"/>
        <w:jc w:val="center"/>
      </w:pPr>
      <w:r>
        <w:rPr>
          <w:rFonts w:ascii="Times New Roman" w:hAnsi="Times New Roman"/>
          <w:b w:val="false"/>
          <w:i w:val="false"/>
          <w:color w:val="000000"/>
          <w:sz w:val="21"/>
        </w:rPr>
        <w:t>[Filed 7/3/02, Notice 5/1/02—published 7/24/02, effective 8/28/02]</w:t>
      </w:r>
    </w:p>
    <w:p>
      <w:pPr>
        <w:spacing w:before="0" w:after="0"/>
        <w:ind w:left="120"/>
        <w:jc w:val="center"/>
      </w:pPr>
      <w:r>
        <w:rPr>
          <w:rFonts w:ascii="Times New Roman" w:hAnsi="Times New Roman"/>
          <w:b w:val="false"/>
          <w:i w:val="false"/>
          <w:color w:val="000000"/>
          <w:sz w:val="21"/>
        </w:rPr>
        <w:t>[Filed 3/24/04, Notice 2/4/04—published 4/14/04, effective 5/19/04]</w:t>
      </w:r>
    </w:p>
    <w:p>
      <w:pPr>
        <w:spacing w:before="0" w:after="0"/>
        <w:ind w:left="120"/>
        <w:jc w:val="center"/>
      </w:pPr>
      <w:r>
        <w:rPr>
          <w:rFonts w:ascii="Times New Roman" w:hAnsi="Times New Roman"/>
          <w:b w:val="false"/>
          <w:i w:val="false"/>
          <w:color w:val="000000"/>
          <w:sz w:val="21"/>
        </w:rPr>
        <w:t>[Filed 7/14/05, Notice 5/25/05—published 8/3/05, effective 9/7/05]</w:t>
      </w:r>
    </w:p>
    <w:p>
      <w:pPr>
        <w:spacing w:before="0" w:after="0"/>
        <w:ind w:left="120"/>
        <w:jc w:val="center"/>
      </w:pPr>
      <w:r>
        <w:rPr>
          <w:rFonts w:ascii="Times New Roman" w:hAnsi="Times New Roman"/>
          <w:b w:val="false"/>
          <w:i w:val="false"/>
          <w:color w:val="000000"/>
          <w:sz w:val="21"/>
        </w:rPr>
        <w:t>[Filed 1/27/06, Notice 11/9/05—published 2/15/06, effective 3/22/06]</w:t>
      </w:r>
    </w:p>
    <w:p>
      <w:pPr>
        <w:spacing w:before="0" w:after="0"/>
        <w:ind w:left="120"/>
        <w:jc w:val="center"/>
      </w:pPr>
      <w:r>
        <w:rPr>
          <w:rFonts w:ascii="Times New Roman" w:hAnsi="Times New Roman"/>
          <w:b w:val="false"/>
          <w:i w:val="false"/>
          <w:color w:val="000000"/>
          <w:sz w:val="21"/>
        </w:rPr>
        <w:t>[Filed 4/13/06, Notice 2/15/06—published 5/10/06, effective 6/14/06]</w:t>
      </w:r>
    </w:p>
    <w:p>
      <w:pPr>
        <w:spacing w:before="0" w:after="0"/>
        <w:ind w:left="120"/>
        <w:jc w:val="center"/>
      </w:pPr>
      <w:r>
        <w:rPr>
          <w:rFonts w:ascii="Times New Roman" w:hAnsi="Times New Roman"/>
          <w:b w:val="false"/>
          <w:i w:val="false"/>
          <w:color w:val="000000"/>
          <w:sz w:val="21"/>
        </w:rPr>
        <w:t>[Filed 1/28/08, Notice 11/7/07—published 2/27/08, effective 4/2/08]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8625B</w:t>
      </w:r>
      <w:r>
        <w:rPr>
          <w:rFonts w:ascii="Times New Roman" w:hAnsi="Times New Roman"/>
          <w:b w:val="false"/>
          <w:i w:val="false"/>
          <w:color w:val="000000"/>
          <w:sz w:val="21"/>
        </w:rPr>
        <w:t xml:space="preserve"> (Notice ARC 8278B, IAB 11/18/09)</w:t>
      </w:r>
      <w:r>
        <w:rPr>
          <w:rFonts w:ascii="Times New Roman" w:hAnsi="Times New Roman"/>
          <w:b w:val="false"/>
          <w:i w:val="false"/>
          <w:color w:val="000000"/>
          <w:sz w:val="21"/>
        </w:rPr>
        <w:t>, IAB 3/24/10, effective 4/28/10]</w:t>
      </w:r>
    </w:p>
    <w:p>
      <w:pPr>
        <w:spacing w:before="0" w:after="0"/>
        <w:ind w:left="120"/>
        <w:jc w:val="center"/>
      </w:pPr>
      <w:r>
        <w:rPr>
          <w:rFonts w:ascii="Times New Roman" w:hAnsi="Times New Roman"/>
          <w:b w:val="false"/>
          <w:i w:val="false"/>
          <w:color w:val="000000"/>
          <w:sz w:val="21"/>
        </w:rPr>
        <w:t>[Filed ARC 9109B</w:t>
      </w:r>
      <w:r>
        <w:rPr>
          <w:rFonts w:ascii="Times New Roman" w:hAnsi="Times New Roman"/>
          <w:b w:val="false"/>
          <w:i w:val="false"/>
          <w:color w:val="000000"/>
          <w:sz w:val="21"/>
        </w:rPr>
        <w:t xml:space="preserve"> (Notice ARC 8782B, IAB 6/2/10)</w:t>
      </w:r>
      <w:r>
        <w:rPr>
          <w:rFonts w:ascii="Times New Roman" w:hAnsi="Times New Roman"/>
          <w:b w:val="false"/>
          <w:i w:val="false"/>
          <w:color w:val="000000"/>
          <w:sz w:val="21"/>
        </w:rPr>
        <w:t>, IAB 10/6/10, effective 11/10/10]</w:t>
      </w:r>
    </w:p>
    <w:p>
      <w:pPr>
        <w:spacing w:before="0" w:after="0"/>
        <w:ind w:left="120"/>
        <w:jc w:val="center"/>
      </w:pPr>
      <w:r>
        <w:rPr>
          <w:rFonts w:ascii="Times New Roman" w:hAnsi="Times New Roman"/>
          <w:b w:val="false"/>
          <w:i w:val="false"/>
          <w:color w:val="000000"/>
          <w:sz w:val="21"/>
        </w:rPr>
        <w:t>[Filed ARC 9862B</w:t>
      </w:r>
      <w:r>
        <w:rPr>
          <w:rFonts w:ascii="Times New Roman" w:hAnsi="Times New Roman"/>
          <w:b w:val="false"/>
          <w:i w:val="false"/>
          <w:color w:val="000000"/>
          <w:sz w:val="21"/>
        </w:rPr>
        <w:t xml:space="preserve"> (Notice ARC 9551B, IAB 6/1/11)</w:t>
      </w:r>
      <w:r>
        <w:rPr>
          <w:rFonts w:ascii="Times New Roman" w:hAnsi="Times New Roman"/>
          <w:b w:val="false"/>
          <w:i w:val="false"/>
          <w:color w:val="000000"/>
          <w:sz w:val="21"/>
        </w:rPr>
        <w:t>, IAB 11/16/11, effective 12/21/11]</w:t>
      </w:r>
    </w:p>
    <w:p>
      <w:pPr>
        <w:spacing w:before="0" w:after="0"/>
        <w:ind w:left="120"/>
        <w:jc w:val="center"/>
      </w:pPr>
      <w:r>
        <w:rPr>
          <w:rFonts w:ascii="Times New Roman" w:hAnsi="Times New Roman"/>
          <w:b w:val="false"/>
          <w:i w:val="false"/>
          <w:color w:val="000000"/>
          <w:sz w:val="21"/>
        </w:rPr>
        <w:t>[Filed ARC 2202C</w:t>
      </w:r>
      <w:r>
        <w:rPr>
          <w:rFonts w:ascii="Times New Roman" w:hAnsi="Times New Roman"/>
          <w:b w:val="false"/>
          <w:i w:val="false"/>
          <w:color w:val="000000"/>
          <w:sz w:val="21"/>
        </w:rPr>
        <w:t xml:space="preserve"> (Notice ARC 2094C, IAB 8/5/15)</w:t>
      </w:r>
      <w:r>
        <w:rPr>
          <w:rFonts w:ascii="Times New Roman" w:hAnsi="Times New Roman"/>
          <w:b w:val="false"/>
          <w:i w:val="false"/>
          <w:color w:val="000000"/>
          <w:sz w:val="21"/>
        </w:rPr>
        <w:t>, IAB 10/14/15, effective 11/18/15]</w:t>
      </w:r>
    </w:p>
    <w:p>
      <w:pPr>
        <w:spacing w:before="0" w:after="0"/>
        <w:ind w:left="120"/>
        <w:jc w:val="center"/>
      </w:pPr>
      <w:r>
        <w:rPr>
          <w:rFonts w:ascii="Times New Roman" w:hAnsi="Times New Roman"/>
          <w:b w:val="false"/>
          <w:i w:val="false"/>
          <w:color w:val="000000"/>
          <w:sz w:val="21"/>
        </w:rPr>
        <w:t>[Filed ARC 3956C</w:t>
      </w:r>
      <w:r>
        <w:rPr>
          <w:rFonts w:ascii="Times New Roman" w:hAnsi="Times New Roman"/>
          <w:b w:val="false"/>
          <w:i w:val="false"/>
          <w:color w:val="000000"/>
          <w:sz w:val="21"/>
        </w:rPr>
        <w:t xml:space="preserve"> (Notice ARC 3754C, IAB 4/25/18)</w:t>
      </w:r>
      <w:r>
        <w:rPr>
          <w:rFonts w:ascii="Times New Roman" w:hAnsi="Times New Roman"/>
          <w:b w:val="false"/>
          <w:i w:val="false"/>
          <w:color w:val="000000"/>
          <w:sz w:val="21"/>
        </w:rPr>
        <w:t>, IAB 8/15/18, effective 9/19/18]</w:t>
      </w:r>
    </w:p>
    <w:p>
      <w:pPr>
        <w:spacing w:before="0" w:after="0"/>
        <w:ind w:left="120"/>
        <w:jc w:val="center"/>
      </w:pPr>
      <w:r>
        <w:rPr>
          <w:rFonts w:ascii="Times New Roman" w:hAnsi="Times New Roman"/>
          <w:b w:val="false"/>
          <w:i w:val="false"/>
          <w:color w:val="000000"/>
          <w:sz w:val="21"/>
        </w:rPr>
        <w:t>[Filed ARC 5759C</w:t>
      </w:r>
      <w:r>
        <w:rPr>
          <w:rFonts w:ascii="Times New Roman" w:hAnsi="Times New Roman"/>
          <w:b w:val="false"/>
          <w:i w:val="false"/>
          <w:color w:val="000000"/>
          <w:sz w:val="21"/>
        </w:rPr>
        <w:t xml:space="preserve"> (Notice ARC 5448C,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7970C</w:t>
      </w:r>
      <w:r>
        <w:rPr>
          <w:rFonts w:ascii="Times New Roman" w:hAnsi="Times New Roman"/>
          <w:b w:val="false"/>
          <w:i w:val="false"/>
          <w:color w:val="000000"/>
          <w:sz w:val="21"/>
        </w:rPr>
        <w:t xml:space="preserve"> (Notice ARC 7467C,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delayed 70 days by the Administrative Rules Review Committee at its meeting held January 29, 2001; delay lifted by the committee at its meeting held February 9, 2001, effective 2/10/01.</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504.3.pdf" Type="http://schemas.openxmlformats.org/officeDocument/2006/relationships/hyperlink" Id="rId4"/>
    <Relationship TargetMode="External" Target="https://www.legis.iowa.gov/docs/iac/chapter/481.504.pdf" Type="http://schemas.openxmlformats.org/officeDocument/2006/relationships/hyperlink" Id="rId5"/>
    <Relationship TargetMode="External" Target="https://www.legis.iowa.gov/docs/ico/chapter/151.pdf" Type="http://schemas.openxmlformats.org/officeDocument/2006/relationships/hyperlink" Id="rId6"/>
    <Relationship TargetMode="External" Target="https://www.legis.iowa.gov/docs/ico/chapter/135N.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151.pdf" Type="http://schemas.openxmlformats.org/officeDocument/2006/relationships/hyperlink" Id="rId9"/>
    <Relationship TargetMode="External" Target="https://www.legis.iowa.gov/docs/ico/chapter/272C.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