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806</w:t>
      </w:r>
    </w:p>
    <w:p>
      <w:pPr>
        <w:spacing w:before="0" w:after="0"/>
        <w:ind w:left="120"/>
        <w:jc w:val="center"/>
      </w:pPr>
      <w:r>
        <w:rPr>
          <w:rFonts w:ascii="Times New Roman" w:hAnsi="Times New Roman"/>
          <w:b w:val="false"/>
          <w:i w:val="false"/>
          <w:color w:val="000000"/>
          <w:sz w:val="21"/>
        </w:rPr>
        <w:t>PRACTICE OF OCCUPATIONAL THERAPISTS AND OCCUPATIONAL THERAPY ASSISTANTS</w:t>
      </w:r>
    </w:p>
    <w:p>
      <w:pPr>
        <w:spacing w:before="0" w:after="0"/>
        <w:ind w:left="120"/>
        <w:jc w:val="center"/>
      </w:pPr>
      <w:r>
        <w:rPr>
          <w:rFonts w:ascii="Times New Roman" w:hAnsi="Times New Roman"/>
          <w:b w:val="false"/>
          <w:i w:val="false"/>
          <w:color w:val="000000"/>
          <w:sz w:val="14"/>
        </w:rPr>
        <w:t>[Prior to 9/18/24, see Professional Licensure Division[645] Ch 208]</w:t>
      </w:r>
    </w:p>
    <w:p>
      <w:pPr>
        <w:spacing w:before="0" w:after="0"/>
        <w:ind w:left="120"/>
        <w:jc w:val="both"/>
      </w:pPr>
      <w:r>
        <w:rPr>
          <w:rFonts w:ascii="Times New Roman" w:hAnsi="Times New Roman"/>
          <w:b/>
          <w:i w:val="false"/>
          <w:color w:val="000000"/>
          <w:sz w:val="22"/>
        </w:rPr>
        <w:t>481—806.1</w:t>
      </w:r>
      <w:r>
        <w:rPr>
          <w:rFonts w:ascii="Times New Roman" w:hAnsi="Times New Roman"/>
          <w:b/>
          <w:i w:val="false"/>
          <w:color w:val="000000"/>
          <w:sz w:val="22"/>
        </w:rPr>
        <w:t xml:space="preserve">(148B,272C) </w:t>
      </w:r>
      <w:r>
        <w:rPr>
          <w:rFonts w:ascii="Times New Roman" w:hAnsi="Times New Roman"/>
          <w:b/>
          <w:i w:val="false"/>
          <w:color w:val="000000"/>
          <w:sz w:val="22"/>
        </w:rPr>
        <w:t xml:space="preserve">Code of ethics for occupational therapists and occupational therapy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806.1(1)</w:t>
      </w:r>
      <w:r>
        <w:rPr>
          <w:rFonts w:ascii="Times New Roman" w:hAnsi="Times New Roman"/>
          <w:b w:val="false"/>
          <w:i w:val="false"/>
          <w:color w:val="000000"/>
          <w:sz w:val="22"/>
        </w:rPr>
        <w:t> </w:t>
      </w:r>
      <w:r>
        <w:rPr>
          <w:rFonts w:ascii="Times New Roman" w:hAnsi="Times New Roman"/>
          <w:b w:val="false"/>
          <w:i w:val="false"/>
          <w:color w:val="000000"/>
          <w:sz w:val="22"/>
        </w:rPr>
        <w:t>Occupational therapy. The practice of occupational therapy minimally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patient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individuals as described in rule </w:t>
      </w:r>
      <w:hyperlink r:id="rId4">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consistent with the standards found in rule </w:t>
      </w:r>
      <w:hyperlink r:id="rId5">
        <w:r>
          <w:rPr>
            <w:rStyle w:val="Hyperlink"/>
            <w:rFonts w:ascii="Times New Roman" w:hAnsi="Times New Roman"/>
            <w:b w:val="false"/>
            <w:i w:val="false"/>
            <w:color w:val="000000"/>
            <w:sz w:val="22"/>
          </w:rPr>
          <w:t>481—806.2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806.1(2)</w:t>
      </w:r>
      <w:r>
        <w:rPr>
          <w:rFonts w:ascii="Times New Roman" w:hAnsi="Times New Roman"/>
          <w:b w:val="false"/>
          <w:i w:val="false"/>
          <w:color w:val="000000"/>
          <w:sz w:val="22"/>
        </w:rPr>
        <w:t> </w:t>
      </w:r>
      <w:r>
        <w:rPr>
          <w:rFonts w:ascii="Times New Roman" w:hAnsi="Times New Roman"/>
          <w:b w:val="false"/>
          <w:i w:val="false"/>
          <w:color w:val="000000"/>
          <w:sz w:val="22"/>
        </w:rPr>
        <w:t>An occupational therapist or occupational therapy assistant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perform a treatment procedure that is inadvisable or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payment through fraudulent means.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occupational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 the standards for supervision found in rule </w:t>
      </w:r>
      <w:hyperlink r:id="rId6">
        <w:r>
          <w:rPr>
            <w:rStyle w:val="Hyperlink"/>
            <w:rFonts w:ascii="Times New Roman" w:hAnsi="Times New Roman"/>
            <w:b w:val="false"/>
            <w:i w:val="false"/>
            <w:color w:val="000000"/>
            <w:sz w:val="22"/>
          </w:rPr>
          <w:t>481—806.4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Not perform a task or service for which the therapist lacks the skill, knowledge or competence. In such a case, the therapist should either refuse to perform the task or service and/or arrange for a professionally qualified licensed practitioner to perform the task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Sign the occupational therapy treatment record to indicate that the occupational therapy services were provided in accordance with the rules and regulations for practicing as an occupational therapist or occupational therapy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806.2(1)</w:t>
      </w:r>
      <w:r>
        <w:rPr>
          <w:rFonts w:ascii="Times New Roman" w:hAnsi="Times New Roman"/>
          <w:b w:val="false"/>
          <w:i w:val="false"/>
          <w:color w:val="000000"/>
          <w:sz w:val="22"/>
        </w:rPr>
        <w:t> </w:t>
      </w:r>
      <w:r>
        <w:rPr>
          <w:rFonts w:ascii="Times New Roman" w:hAnsi="Times New Roman"/>
          <w:b w:val="false"/>
          <w:i w:val="false"/>
          <w:color w:val="000000"/>
          <w:sz w:val="22"/>
        </w:rPr>
        <w:t>A licensee should maintain sufficient, timely, and accurate documentation in patient records to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806.2(2)</w:t>
      </w:r>
      <w:r>
        <w:rPr>
          <w:rFonts w:ascii="Times New Roman" w:hAnsi="Times New Roman"/>
          <w:b w:val="false"/>
          <w:i w:val="false"/>
          <w:color w:val="000000"/>
          <w:sz w:val="22"/>
        </w:rPr>
        <w:t> </w:t>
      </w:r>
      <w:r>
        <w:rPr>
          <w:rFonts w:ascii="Times New Roman" w:hAnsi="Times New Roman"/>
          <w:b w:val="false"/>
          <w:i w:val="false"/>
          <w:color w:val="000000"/>
          <w:sz w:val="22"/>
        </w:rPr>
        <w:t>A licensee should store records in accordance with state and federal statutes and regulations governing record retention and with the guidelines of the licensee’s employer or agency, if applicable. If no other legal provisions govern record retention, a licensee should store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should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Occupational therapists and occupational therapy assistants shall preserve the confidentiality of patient records consistent with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occupational therapy services to a patient utilizing a telehealth visit if the occupational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occupational therapy services by a licensee to a patient using technology where the licensee and the patient are not at the same physical location for the occupational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utilize technology that is secure and HIPAA-compliant, pursuant to the Health Insurance Portability and Accountability Act of 1996, PL 104–191, August 21, 1996, 110 Stat.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1936, and any amendments as of December 8, 2023, and that includes, at a minimum, audio or video equipment or both, that allows two-way real-time interactive communication between the licensee and the patient. A licensee may use non-real-time technologies to prepare for an occupational therapy session or to communicate with a patient between occupational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occupational therapy. A licensee shall not utilize a telehealth visit if the standard of care for the particular occupational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806.3(4)</w:t>
      </w:r>
      <w:r>
        <w:rPr>
          <w:rFonts w:ascii="Times New Roman" w:hAnsi="Times New Roman"/>
          <w:b w:val="false"/>
          <w:i w:val="false"/>
          <w:color w:val="000000"/>
          <w:sz w:val="22"/>
        </w:rPr>
        <w:t> </w:t>
      </w:r>
      <w:r>
        <w:rPr>
          <w:rFonts w:ascii="Times New Roman" w:hAnsi="Times New Roman"/>
          <w:b w:val="false"/>
          <w:i w:val="false"/>
          <w:color w:val="000000"/>
          <w:sz w:val="22"/>
        </w:rPr>
        <w:t>Any occupational therapist or occupational therapy assistant who provides an occupational therapy telehealth visit to a patient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occupational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occupational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occupational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481—806.4</w:t>
      </w:r>
      <w:r>
        <w:rPr>
          <w:rFonts w:ascii="Times New Roman" w:hAnsi="Times New Roman"/>
          <w:b/>
          <w:i w:val="false"/>
          <w:color w:val="000000"/>
          <w:sz w:val="22"/>
        </w:rPr>
        <w:t xml:space="preserve">(147) </w:t>
      </w:r>
      <w:r>
        <w:rPr>
          <w:rFonts w:ascii="Times New Roman" w:hAnsi="Times New Roman"/>
          <w:b/>
          <w:i w:val="false"/>
          <w:color w:val="000000"/>
          <w:sz w:val="22"/>
        </w:rPr>
        <w:t xml:space="preserve">Practice of occupational therapy limited permit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limited permit holders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clients, plan treatment programs, and provide periodic reevaluations only under supervision of a licensed OT who shall bear full responsibility for care provided under the OT’s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occupational therapist under the supervision of an Iowa-licensed occupational therapist, except for providing supervision to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806.4(2)</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assistants and limited permit holders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 the treatment plan written by the supervising OT outlining the elements that have been delegated;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occupational therapy procedures delegated by the supervising OT as required in rule </w:t>
      </w:r>
      <w:hyperlink r:id="rId7">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(148B).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481—806.5</w:t>
      </w:r>
      <w:r>
        <w:rPr>
          <w:rFonts w:ascii="Times New Roman" w:hAnsi="Times New Roman"/>
          <w:b/>
          <w:i w:val="false"/>
          <w:color w:val="000000"/>
          <w:sz w:val="22"/>
        </w:rPr>
        <w:t xml:space="preserve">(148B)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806.5(1)</w:t>
      </w:r>
      <w:r>
        <w:rPr>
          <w:rFonts w:ascii="Times New Roman" w:hAnsi="Times New Roman"/>
          <w:b w:val="false"/>
          <w:i w:val="false"/>
          <w:color w:val="000000"/>
          <w:sz w:val="22"/>
        </w:rPr>
        <w:t> </w:t>
      </w:r>
      <w:r>
        <w:rPr>
          <w:rFonts w:ascii="Times New Roman" w:hAnsi="Times New Roman"/>
          <w:b w:val="false"/>
          <w:i w:val="false"/>
          <w:color w:val="000000"/>
          <w:sz w:val="22"/>
        </w:rPr>
        <w:t>Care rendered by unlicensed assistive personnel shall not be documented or charged as occupational therapy unless direct on-site supervision is provided by an OT or in-sight supervision is provided by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supervisor responsibilities. The supervisor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supervision to a licensed OTA, OT limited permit holder and OTA limited permit holder any time occupational therapy services are rendered. Supervision may be provided on site or through the use of telecommunication or other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every licensed OTA, OT limited permit holder and OTA limited permit holder being supervised is aware of who the supervisor is and how the supervisor can be contacted any time occupational therapy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all delegated tasks and shall not delegate a service that exceeds the expertise of the OTA or OTA limited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evaluation and development of a treatment plan for use by the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OTA, OT limited permit holder and OTA limited permit holder under the OT’s supervision have current licenses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signature of an OTA on an occupational therapy treatment record indicates that the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806.5(3)</w:t>
      </w:r>
      <w:r>
        <w:rPr>
          <w:rFonts w:ascii="Times New Roman" w:hAnsi="Times New Roman"/>
          <w:b w:val="false"/>
          <w:i w:val="false"/>
          <w:color w:val="000000"/>
          <w:sz w:val="22"/>
        </w:rPr>
        <w:t> </w:t>
      </w:r>
      <w:r>
        <w:rPr>
          <w:rFonts w:ascii="Times New Roman" w:hAnsi="Times New Roman"/>
          <w:b w:val="false"/>
          <w:i w:val="false"/>
          <w:color w:val="000000"/>
          <w:sz w:val="22"/>
        </w:rPr>
        <w:t>The following are functions that only an occupational therapist may provide and that shall not be delegated to an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occupational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the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 of the qualifications of all assistive personnel to perform assigned tasks through written documentation of their education or training that is maintained and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services to be rendered by the OTA,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806.5(4)</w:t>
      </w:r>
      <w:r>
        <w:rPr>
          <w:rFonts w:ascii="Times New Roman" w:hAnsi="Times New Roman"/>
          <w:b w:val="false"/>
          <w:i w:val="false"/>
          <w:color w:val="000000"/>
          <w:sz w:val="22"/>
        </w:rPr>
        <w:t> </w:t>
      </w:r>
      <w:r>
        <w:rPr>
          <w:rFonts w:ascii="Times New Roman" w:hAnsi="Times New Roman"/>
          <w:b w:val="false"/>
          <w:i w:val="false"/>
          <w:color w:val="000000"/>
          <w:sz w:val="22"/>
        </w:rPr>
        <w:t>Supervision of unlicensed assistive personnel. OTs are responsible for patient care provided by unlicensed assistive personnel under the OT’s supervision.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physically participate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unlicensed assistive personnel shall provide independent patient care only while under the on-site supervision of the supervising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occupational therapy records by unlicensed assistive personnel shall be cosigned by the supervising OT;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provide periodic reevaluation of the performance of unlicensed assistive personnel in relation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806.5(5)</w:t>
      </w:r>
      <w:r>
        <w:rPr>
          <w:rFonts w:ascii="Times New Roman" w:hAnsi="Times New Roman"/>
          <w:b w:val="false"/>
          <w:i w:val="false"/>
          <w:color w:val="000000"/>
          <w:sz w:val="22"/>
        </w:rPr>
        <w:t> </w:t>
      </w:r>
      <w:r>
        <w:rPr>
          <w:rFonts w:ascii="Times New Roman" w:hAnsi="Times New Roman"/>
          <w:b w:val="false"/>
          <w:i w:val="false"/>
          <w:color w:val="000000"/>
          <w:sz w:val="22"/>
        </w:rPr>
        <w:t>Minimum frequency of OT interaction. At a minimum, an OT must directly participate in treatment, either in person or through a telehealth visit, every twelfth visit for all patients and must document each visit. The occupational therapist shall participate at a higher frequency when the standard of care dictates.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806.5(6)</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only those services for which the OTA has the necessary skills and shall consult the supervising occupational therapist if the procedures are believed not to be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 data relating to the patient’s disability during screening, but shall not interpret the patient information as it pertains to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Communicate any change, or lack of change, that occurs in the patient’s condition and that may need the assessment of the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occupational therapy services only under the supervision of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treatment only after evaluation and development of a treatment plan by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of patient information to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 supervised by an occupational therapist, either on site or through the use of telecommunication or other technology, at all times when occupational therapy services are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Receive supervision from any number of at least one occupational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Record on every patient chart the name of the OTA’s supervisor for each treatment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OTA on the occupational therapy treatment record indicates that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806.5(7)</w:t>
      </w:r>
      <w:r>
        <w:rPr>
          <w:rFonts w:ascii="Times New Roman" w:hAnsi="Times New Roman"/>
          <w:b w:val="false"/>
          <w:i w:val="false"/>
          <w:color w:val="000000"/>
          <w:sz w:val="22"/>
        </w:rPr>
        <w:t> </w:t>
      </w:r>
      <w:r>
        <w:rPr>
          <w:rFonts w:ascii="Times New Roman" w:hAnsi="Times New Roman"/>
          <w:b w:val="false"/>
          <w:i w:val="false"/>
          <w:color w:val="000000"/>
          <w:sz w:val="22"/>
        </w:rPr>
        <w:t xml:space="preserve">Unlicensed assistive personnel. Unlicensed assistive personnel may assist an OTA in providing patient care in the absence of an OT only if the OTA maintains in-sight supervision of the unlicensed assistive personnel and the OTA is primarily and significantly involved in that patient’s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806.5(8)</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limited permit holder may evaluate clients, plan treatment programs, and provide periodic reevaluations under supervision of a licensed occupational therapist who shall bear full responsibility for care provided under the occupational therapist’s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7984C</w:t>
      </w:r>
      <w:r>
        <w:rPr>
          <w:rFonts w:ascii="Times New Roman" w:hAnsi="Times New Roman"/>
          <w:b w:val="false"/>
          <w:i w:val="false"/>
          <w:color w:val="000000"/>
          <w:sz w:val="21"/>
        </w:rPr>
        <w:t xml:space="preserve"> (Notice ARC 7551C,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06.5.pdf" Type="http://schemas.openxmlformats.org/officeDocument/2006/relationships/hyperlink" Id="rId4"/>
    <Relationship TargetMode="External" Target="https://www.legis.iowa.gov/docs/iac/rule/481.806.2.pdf" Type="http://schemas.openxmlformats.org/officeDocument/2006/relationships/hyperlink" Id="rId5"/>
    <Relationship TargetMode="External" Target="https://www.legis.iowa.gov/docs/iac/rule/481.806.4.pdf" Type="http://schemas.openxmlformats.org/officeDocument/2006/relationships/hyperlink" Id="rId6"/>
    <Relationship TargetMode="External" Target="https://www.legis.iowa.gov/docs/iac/rule/481.806.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B.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