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805</w:t>
      </w:r>
    </w:p>
    <w:p>
      <w:pPr>
        <w:spacing w:before="0" w:after="0"/>
        <w:ind w:left="120"/>
        <w:jc w:val="center"/>
      </w:pPr>
      <w:r>
        <w:rPr>
          <w:rFonts w:ascii="Times New Roman" w:hAnsi="Times New Roman"/>
          <w:b w:val="false"/>
          <w:i w:val="false"/>
          <w:color w:val="000000"/>
          <w:sz w:val="21"/>
        </w:rPr>
        <w:t>CONTINUING EDUCATION FOR OCCUPATIONAL THERAPISTS</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14"/>
        </w:rPr>
        <w:t>[Prior to 9/18/24, see Professional Licensure Division[645] Ch 207]</w:t>
      </w:r>
    </w:p>
    <w:p>
      <w:pPr>
        <w:spacing w:before="0" w:after="0"/>
        <w:ind w:left="120"/>
        <w:jc w:val="both"/>
      </w:pPr>
      <w:r>
        <w:rPr>
          <w:rFonts w:ascii="Times New Roman" w:hAnsi="Times New Roman"/>
          <w:b/>
          <w:i w:val="false"/>
          <w:color w:val="000000"/>
          <w:sz w:val="22"/>
        </w:rPr>
        <w:t>481—805.1</w:t>
      </w:r>
      <w:r>
        <w:rPr>
          <w:rFonts w:ascii="Times New Roman" w:hAnsi="Times New Roman"/>
          <w:b/>
          <w:i w:val="false"/>
          <w:color w:val="000000"/>
          <w:sz w:val="22"/>
        </w:rPr>
        <w:t xml:space="preserve">(148B)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compliance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and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occupational therapist or occupational therapy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481—805.2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that begins on the sixteenth day of the licensee’s birth month and ends two years later on the fifteenth day of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occupational therapist licensees. Each biennium, each person who is licensed to practice as an occupational therapist in this state will have the responsibility to finance the cost and be required to complete a minimum of 30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occupational therapy assistant licensees. Each biennium, each person who is licensed to practice as an occupational therapy assistant in this state will be required to complete a minimum of 15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30 hours of continuing education per biennium for occupational therapists and 15 hours for occupational therapy assistants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805.2(3)</w:t>
      </w:r>
      <w:r>
        <w:rPr>
          <w:rFonts w:ascii="Times New Roman" w:hAnsi="Times New Roman"/>
          <w:b w:val="false"/>
          <w:i w:val="false"/>
          <w:color w:val="000000"/>
          <w:sz w:val="22"/>
        </w:rPr>
        <w:t> </w:t>
      </w:r>
      <w:r>
        <w:rPr>
          <w:rFonts w:ascii="Times New Roman" w:hAnsi="Times New Roman"/>
          <w:b w:val="false"/>
          <w:i w:val="false"/>
          <w:color w:val="000000"/>
          <w:sz w:val="22"/>
        </w:rPr>
        <w:t>With the exception of continuing education hours obtained by new licensees, no hours of continuing education shall be carried over into the next biennium.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481—805.3</w:t>
      </w:r>
      <w:r>
        <w:rPr>
          <w:rFonts w:ascii="Times New Roman" w:hAnsi="Times New Roman"/>
          <w:b/>
          <w:i w:val="false"/>
          <w:color w:val="000000"/>
          <w:sz w:val="22"/>
        </w:rPr>
        <w:t xml:space="preserve">(148B,272C)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Appropriate continuing education activity for purposes of license renewal will support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workshops, conferences, or symposiums.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Directly supervising students for clinical education if the student being supervised is from an accredited occupational therapy or occupational therapy assistant program and is participating in a full-time clinical experience (defined as approximately 40 hours per week, ranging from 1 to 18 weeks). One hour will be awarded for every 160 contact hours of supervision. A maximum of 8 hours for an occupational therapist and 4 hours for an occupational therapy assistant may be awarded per biennium. The occupational therapist or occupational therapy assistant must have documentation from the accredited educational program indicating the number of hours spent supervising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for the first offering of the course.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occupational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 on a one-time basis for the first offering of a course:</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professional organizations related to the practice of occupational therapy, with one credit hour received for each six months of active service as an officer, delegate, or committee member, for a maximum of four hours of credit per biennium. Verification of participation must be provided by the professional organization to document the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in the following topics are not considered to be directly and primarily related to the clinical application of occupational therapy and therefore must not exceed a maximum combined total of eight hours of credit for an occupational therapist licensee and four hours of credit for an occupational therapy assistant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Business-related topics, such as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health topics, such as clinical research, CPR, mandatory reporter training,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7983C</w:t>
      </w:r>
      <w:r>
        <w:rPr>
          <w:rFonts w:ascii="Times New Roman" w:hAnsi="Times New Roman"/>
          <w:b w:val="false"/>
          <w:i w:val="false"/>
          <w:color w:val="000000"/>
          <w:sz w:val="21"/>
        </w:rPr>
        <w:t xml:space="preserve"> (Notice ARC 7550C,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8B.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