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782</w:t>
      </w:r>
    </w:p>
    <w:p>
      <w:pPr>
        <w:spacing w:before="0" w:after="0"/>
        <w:ind w:left="120"/>
        <w:jc w:val="center"/>
      </w:pPr>
      <w:r>
        <w:rPr>
          <w:rFonts w:ascii="Times New Roman" w:hAnsi="Times New Roman"/>
          <w:b w:val="false"/>
          <w:i w:val="false"/>
          <w:color w:val="000000"/>
          <w:sz w:val="21"/>
        </w:rPr>
        <w:t>CONTINUING EDUCATION FOR PHYSICIAN ASSISTANTS</w:t>
      </w:r>
    </w:p>
    <w:p>
      <w:pPr>
        <w:spacing w:before="0" w:after="0"/>
        <w:ind w:left="120"/>
        <w:jc w:val="center"/>
      </w:pPr>
      <w:r>
        <w:rPr>
          <w:rFonts w:ascii="Times New Roman" w:hAnsi="Times New Roman"/>
          <w:b w:val="false"/>
          <w:i w:val="false"/>
          <w:color w:val="000000"/>
          <w:sz w:val="14"/>
        </w:rPr>
        <w:t>[Prior to 9/18/24, see Professional Licensure Division[645] Ch 328]</w:t>
      </w:r>
    </w:p>
    <w:p>
      <w:pPr>
        <w:spacing w:before="0" w:after="0"/>
        <w:ind w:left="120"/>
        <w:jc w:val="both"/>
      </w:pPr>
      <w:r>
        <w:rPr>
          <w:rFonts w:ascii="Times New Roman" w:hAnsi="Times New Roman"/>
          <w:b/>
          <w:i w:val="false"/>
          <w:color w:val="000000"/>
          <w:sz w:val="22"/>
        </w:rPr>
        <w:t>481—782.1</w:t>
      </w:r>
      <w:r>
        <w:rPr>
          <w:rFonts w:ascii="Times New Roman" w:hAnsi="Times New Roman"/>
          <w:b/>
          <w:i w:val="false"/>
          <w:color w:val="000000"/>
          <w:sz w:val="22"/>
        </w:rPr>
        <w:t xml:space="preserve">(148C)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physician assistants.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physician assistant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8039C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481—782.2</w:t>
      </w:r>
      <w:r>
        <w:rPr>
          <w:rFonts w:ascii="Times New Roman" w:hAnsi="Times New Roman"/>
          <w:b/>
          <w:i w:val="false"/>
          <w:color w:val="000000"/>
          <w:sz w:val="22"/>
        </w:rPr>
        <w:t xml:space="preserve">(148C)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will extend for a two-year period beginning on October 1 of each year and ending on September 30 two years later. Each biennium, each licensee will be required to complete a minimum of 100 hours of continuing education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782.2(2)</w:t>
      </w:r>
      <w:r>
        <w:rPr>
          <w:rFonts w:ascii="Times New Roman" w:hAnsi="Times New Roman"/>
          <w:b w:val="false"/>
          <w:i w:val="false"/>
          <w:color w:val="000000"/>
          <w:sz w:val="22"/>
        </w:rPr>
        <w:t> </w:t>
      </w:r>
      <w:r>
        <w:rPr>
          <w:rFonts w:ascii="Times New Roman" w:hAnsi="Times New Roman"/>
          <w:b w:val="false"/>
          <w:i w:val="false"/>
          <w:color w:val="000000"/>
          <w:sz w:val="22"/>
        </w:rPr>
        <w:t>Requirements of new licensees. Those persons licensed for the first time will not be required to complete continuing education as a prerequisite for the first renewal of their licenses. The new licensee will be required to complete a minimum of 100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782.2(3)</w:t>
      </w:r>
      <w:r>
        <w:rPr>
          <w:rFonts w:ascii="Times New Roman" w:hAnsi="Times New Roman"/>
          <w:b w:val="false"/>
          <w:i w:val="false"/>
          <w:color w:val="000000"/>
          <w:sz w:val="22"/>
        </w:rPr>
        <w:t> </w:t>
      </w:r>
      <w:r>
        <w:rPr>
          <w:rFonts w:ascii="Times New Roman" w:hAnsi="Times New Roman"/>
          <w:b w:val="false"/>
          <w:i w:val="false"/>
          <w:color w:val="000000"/>
          <w:sz w:val="22"/>
        </w:rPr>
        <w:t>A licensee whose license was reactivated during the current renewal compliance period may use continuing education earned during the compliance period for the first renewal following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8039C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481—782.3</w:t>
      </w:r>
      <w:r>
        <w:rPr>
          <w:rFonts w:ascii="Times New Roman" w:hAnsi="Times New Roman"/>
          <w:b/>
          <w:i w:val="false"/>
          <w:color w:val="000000"/>
          <w:sz w:val="22"/>
        </w:rPr>
        <w:t xml:space="preserve">(148C,272C)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an individual certificate of completion or evidence of successful completion of the course provided by the course sponsor. This documentation must contain the course title, date(s), contact hours, sponsor and 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r>
        <w:rPr>
          <w:rFonts w:ascii="Times New Roman" w:hAnsi="Times New Roman"/>
          <w:b w:val="false"/>
          <w:i w:val="false"/>
          <w:color w:val="000000"/>
          <w:sz w:val="22"/>
        </w:rPr>
        <w:t>Continuing education requirements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will complete a minimum of 50 hours of credit designated as Category I by the American Academy of Physician Assistants, the American Medical Association, the American Osteopathic Association Council on Continuing Medical Education, the American Academy of Family Physicians or other organizations accredited by the Accreditation Council for Continuing Medical Education (ACCME).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remaining 50 hours of required continuing medical education (CME), Category I or Category II credit, as accepted by the National Commission on Certification of Physician Assistants (NCCPA), will satisfy the CME requirements. In case of audit, licensees will provide evidence of NCCPA certification during the time period being audited or an activity log for all Category II credits for which a certificate of completion is not available. The activity log will list for each activity the date and type of activity and number of hours claimed per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Licensees who maintain certification by the NCCPA may show proof of meeting the board’s CME requirements by providing proof of current certification by the NCCPA for the time period being reviewed or audited.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who has prescribed opioids to a patient during the renewal cycle will complete a minimum of two hours of continuing education regarding the guidelines for prescribing opioids for chronic pain, as issued by the Centers for Disease Control and Prevention of the United States Department of Health and Human Services, including recommendations on limitations on dosages and the length of prescriptions, risk factors for abuse, and nonopioid and nonpharmacologic therapy options, as a condition of license renewal. These hours may count toward the 100 hours of continuing education required for license renewal. The licensee will maintain documentation of these hours, which may be subject to audit.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8039C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4">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5">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1/19/01, Notice 11/15/00—published 2/7/01, effective 3/14/01]</w:t>
      </w:r>
    </w:p>
    <w:p>
      <w:pPr>
        <w:spacing w:before="0" w:after="0"/>
        <w:ind w:left="120"/>
        <w:jc w:val="center"/>
      </w:pPr>
      <w:r>
        <w:rPr>
          <w:rFonts w:ascii="Times New Roman" w:hAnsi="Times New Roman"/>
          <w:b w:val="false"/>
          <w:i w:val="false"/>
          <w:color w:val="000000"/>
          <w:sz w:val="21"/>
        </w:rPr>
        <w:t>[Filed 7/19/02, Notice 4/3/02—published 8/7/02, effective 9/11/02]</w:t>
      </w:r>
    </w:p>
    <w:p>
      <w:pPr>
        <w:spacing w:before="0" w:after="0"/>
        <w:ind w:left="120"/>
        <w:jc w:val="center"/>
      </w:pPr>
      <w:r>
        <w:rPr>
          <w:rFonts w:ascii="Times New Roman" w:hAnsi="Times New Roman"/>
          <w:b w:val="false"/>
          <w:i w:val="false"/>
          <w:color w:val="000000"/>
          <w:sz w:val="21"/>
        </w:rPr>
        <w:t>[Filed emergency 7/18/03—published 8/6/03, effective 7/18/03]</w:t>
      </w:r>
    </w:p>
    <w:p>
      <w:pPr>
        <w:spacing w:before="0" w:after="0"/>
        <w:ind w:left="120"/>
        <w:jc w:val="center"/>
      </w:pPr>
      <w:r>
        <w:rPr>
          <w:rFonts w:ascii="Times New Roman" w:hAnsi="Times New Roman"/>
          <w:b w:val="false"/>
          <w:i w:val="false"/>
          <w:color w:val="000000"/>
          <w:sz w:val="21"/>
        </w:rPr>
        <w:t>[Filed 7/21/05, Notice 5/11/05—published 8/17/05, effective 9/21/05]</w:t>
      </w:r>
    </w:p>
    <w:p>
      <w:pPr>
        <w:spacing w:before="0" w:after="0"/>
        <w:ind w:left="120"/>
        <w:jc w:val="center"/>
      </w:pPr>
      <w:r>
        <w:rPr>
          <w:rFonts w:ascii="Times New Roman" w:hAnsi="Times New Roman"/>
          <w:b w:val="false"/>
          <w:i w:val="false"/>
          <w:color w:val="000000"/>
          <w:sz w:val="21"/>
        </w:rPr>
        <w:t>[Filed 1/20/06, Notice 11/9/05—published 2/15/06, effective 3/22/06]</w:t>
      </w:r>
    </w:p>
    <w:p>
      <w:pPr>
        <w:spacing w:before="0" w:after="0"/>
        <w:ind w:left="120"/>
        <w:jc w:val="center"/>
      </w:pPr>
      <w:r>
        <w:rPr>
          <w:rFonts w:ascii="Times New Roman" w:hAnsi="Times New Roman"/>
          <w:b w:val="false"/>
          <w:i w:val="false"/>
          <w:color w:val="000000"/>
          <w:sz w:val="21"/>
        </w:rPr>
        <w:t>[Filed 10/19/07, Notice 8/15/07—published 11/7/07, effective 12/12/07]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9517B</w:t>
      </w:r>
      <w:r>
        <w:rPr>
          <w:rFonts w:ascii="Times New Roman" w:hAnsi="Times New Roman"/>
          <w:b w:val="false"/>
          <w:i w:val="false"/>
          <w:color w:val="000000"/>
          <w:sz w:val="21"/>
        </w:rPr>
        <w:t xml:space="preserve"> (Notice ARC 9360B, IAB 2/9/11)</w:t>
      </w:r>
      <w:r>
        <w:rPr>
          <w:rFonts w:ascii="Times New Roman" w:hAnsi="Times New Roman"/>
          <w:b w:val="false"/>
          <w:i w:val="false"/>
          <w:color w:val="000000"/>
          <w:sz w:val="21"/>
        </w:rPr>
        <w:t>, IAB 5/18/11, effective 6/22/11]</w:t>
      </w:r>
    </w:p>
    <w:p>
      <w:pPr>
        <w:spacing w:before="0" w:after="0"/>
        <w:ind w:left="120"/>
        <w:jc w:val="center"/>
      </w:pPr>
      <w:r>
        <w:rPr>
          <w:rFonts w:ascii="Times New Roman" w:hAnsi="Times New Roman"/>
          <w:b w:val="false"/>
          <w:i w:val="false"/>
          <w:color w:val="000000"/>
          <w:sz w:val="21"/>
        </w:rPr>
        <w:t>[Filed ARC 4299C</w:t>
      </w:r>
      <w:r>
        <w:rPr>
          <w:rFonts w:ascii="Times New Roman" w:hAnsi="Times New Roman"/>
          <w:b w:val="false"/>
          <w:i w:val="false"/>
          <w:color w:val="000000"/>
          <w:sz w:val="21"/>
        </w:rPr>
        <w:t xml:space="preserve"> (Notice ARC 4128C, IAB 11/21/18)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8039C</w:t>
      </w:r>
      <w:r>
        <w:rPr>
          <w:rFonts w:ascii="Times New Roman" w:hAnsi="Times New Roman"/>
          <w:b w:val="false"/>
          <w:i w:val="false"/>
          <w:color w:val="000000"/>
          <w:sz w:val="21"/>
        </w:rPr>
        <w:t xml:space="preserve"> (Notice ARC 7529C, IAB 1/24/24)</w:t>
      </w:r>
      <w:r>
        <w:rPr>
          <w:rFonts w:ascii="Times New Roman" w:hAnsi="Times New Roman"/>
          <w:b w:val="false"/>
          <w:i w:val="false"/>
          <w:color w:val="000000"/>
          <w:sz w:val="21"/>
        </w:rPr>
        <w:t>, IAB 5/29/24, effective 7/3/24]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pdf" Type="http://schemas.openxmlformats.org/officeDocument/2006/relationships/hyperlink" Id="rId4"/>
    <Relationship TargetMode="External" Target="https://www.legis.iowa.gov/docs/ico/chapter/148C.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