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762</w:t>
      </w:r>
    </w:p>
    <w:p>
      <w:pPr>
        <w:spacing w:before="0" w:after="0"/>
        <w:ind w:left="120"/>
        <w:jc w:val="center"/>
      </w:pPr>
      <w:r>
        <w:rPr>
          <w:rFonts w:ascii="Times New Roman" w:hAnsi="Times New Roman"/>
          <w:b w:val="false"/>
          <w:i w:val="false"/>
          <w:color w:val="000000"/>
          <w:sz w:val="21"/>
        </w:rPr>
        <w:t>PRACTICE OF OPTOMETRISTS</w:t>
      </w:r>
    </w:p>
    <w:p>
      <w:pPr>
        <w:spacing w:before="0" w:after="0"/>
        <w:ind w:left="120"/>
        <w:jc w:val="center"/>
      </w:pPr>
      <w:r>
        <w:rPr>
          <w:rFonts w:ascii="Times New Roman" w:hAnsi="Times New Roman"/>
          <w:b w:val="false"/>
          <w:i w:val="false"/>
          <w:color w:val="000000"/>
          <w:sz w:val="14"/>
        </w:rPr>
        <w:t>[Prior to 8/7/02, see 645—179.4(154), 179.5(154,272C), 179.7(154) and 179.8(155A)]</w:t>
      </w:r>
    </w:p>
    <w:p>
      <w:pPr>
        <w:spacing w:before="0" w:after="0"/>
        <w:ind w:left="120"/>
        <w:jc w:val="center"/>
      </w:pPr>
      <w:r>
        <w:rPr>
          <w:rFonts w:ascii="Times New Roman" w:hAnsi="Times New Roman"/>
          <w:b w:val="false"/>
          <w:i w:val="false"/>
          <w:color w:val="000000"/>
          <w:sz w:val="14"/>
        </w:rPr>
        <w:t>[Prior to 9/18/24, see Professional Licensure Division[645] Ch 182]</w:t>
      </w:r>
    </w:p>
    <w:p>
      <w:pPr>
        <w:spacing w:before="0" w:after="0"/>
        <w:ind w:left="120"/>
        <w:jc w:val="both"/>
      </w:pPr>
      <w:r>
        <w:rPr>
          <w:rFonts w:ascii="Times New Roman" w:hAnsi="Times New Roman"/>
          <w:b/>
          <w:i w:val="false"/>
          <w:color w:val="000000"/>
          <w:sz w:val="22"/>
        </w:rPr>
        <w:t>481—762.1</w:t>
      </w:r>
      <w:r>
        <w:rPr>
          <w:rFonts w:ascii="Times New Roman" w:hAnsi="Times New Roman"/>
          <w:b/>
          <w:i w:val="false"/>
          <w:color w:val="000000"/>
          <w:sz w:val="22"/>
        </w:rPr>
        <w:t xml:space="preserve">(154) </w:t>
      </w:r>
      <w:r>
        <w:rPr>
          <w:rFonts w:ascii="Times New Roman" w:hAnsi="Times New Roman"/>
          <w:b/>
          <w:i w:val="false"/>
          <w:color w:val="000000"/>
          <w:sz w:val="22"/>
        </w:rPr>
        <w:t xml:space="preserve">Code of ethics. </w:t>
      </w:r>
      <w:r>
        <w:rPr>
          <w:rFonts w:ascii="Times New Roman" w:hAnsi="Times New Roman"/>
          <w:b w:val="false"/>
          <w:i w:val="false"/>
          <w:color w:val="000000"/>
          <w:sz w:val="22"/>
        </w:rPr>
        <w:t>The board hereby adopts by reference the Code of Ethics of the American Optometric Association as published by the American Optometric Association, 243 North Lindbergh Boulevard, St.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Louis, Missouri 63141, modified June 2007.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481—762.2</w:t>
      </w:r>
      <w:r>
        <w:rPr>
          <w:rFonts w:ascii="Times New Roman" w:hAnsi="Times New Roman"/>
          <w:b/>
          <w:i w:val="false"/>
          <w:color w:val="000000"/>
          <w:sz w:val="22"/>
        </w:rPr>
        <w:t xml:space="preserve">(154,272C) </w:t>
      </w:r>
      <w:r>
        <w:rPr>
          <w:rFonts w:ascii="Times New Roman" w:hAnsi="Times New Roman"/>
          <w:b/>
          <w:i w:val="false"/>
          <w:color w:val="000000"/>
          <w:sz w:val="22"/>
        </w:rPr>
        <w:t xml:space="preserve">Recordkeeping. </w:t>
      </w:r>
      <w:r>
        <w:rPr>
          <w:rFonts w:ascii="Times New Roman" w:hAnsi="Times New Roman"/>
          <w:b w:val="false"/>
          <w:i w:val="false"/>
          <w:color w:val="000000"/>
          <w:sz w:val="22"/>
        </w:rPr>
        <w:t>Optometrists will maintain patient records in a manner consistent with the protection of the welfare of the patient. Records will be permanent, timely, accurate, legible, and easily understandable.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762.2(1)</w:t>
      </w:r>
      <w:r>
        <w:rPr>
          <w:rFonts w:ascii="Times New Roman" w:hAnsi="Times New Roman"/>
          <w:b w:val="false"/>
          <w:i w:val="false"/>
          <w:color w:val="000000"/>
          <w:sz w:val="22"/>
        </w:rPr>
        <w:t> </w:t>
      </w:r>
      <w:r>
        <w:rPr>
          <w:rFonts w:ascii="Times New Roman" w:hAnsi="Times New Roman"/>
          <w:b w:val="false"/>
          <w:i w:val="false"/>
          <w:color w:val="000000"/>
          <w:sz w:val="22"/>
        </w:rPr>
        <w:t>Optometrists will maintain optometry records for each patient. The records will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Personal data.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date of birth, address and, if a minor, name of parent or guardian;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telephone number of emergency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Optometry and medical history. </w:t>
      </w:r>
      <w:r>
        <w:rPr>
          <w:rFonts w:ascii="Times New Roman" w:hAnsi="Times New Roman"/>
          <w:b w:val="false"/>
          <w:i w:val="false"/>
          <w:color w:val="000000"/>
          <w:sz w:val="22"/>
        </w:rPr>
        <w:t>Optometry records will include information from the patient or the patient’s parent or guardian regarding the patient’s optometric and medical history. The information will include sufficient data to support the recommended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Patient’s reason for visit. </w:t>
      </w:r>
      <w:r>
        <w:rPr>
          <w:rFonts w:ascii="Times New Roman" w:hAnsi="Times New Roman"/>
          <w:b w:val="false"/>
          <w:i w:val="false"/>
          <w:color w:val="000000"/>
          <w:sz w:val="22"/>
        </w:rPr>
        <w:t>Optometric records will include the patient’s stated visual health care reasons for visiting the optometrist.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Clinical examination progress notes. </w:t>
      </w:r>
      <w:r>
        <w:rPr>
          <w:rFonts w:ascii="Times New Roman" w:hAnsi="Times New Roman"/>
          <w:b w:val="false"/>
          <w:i w:val="false"/>
          <w:color w:val="000000"/>
          <w:sz w:val="22"/>
        </w:rPr>
        <w:t>Optometric records will include chronological dates and descriptions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Clinical examination findings, tests conducted, and a summary of all pertinent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 of intended treatment and treatment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rendered and any treatment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ancillary testing,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Vision tests completed and visual acuity;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quantity, and strength of all drugs dispensed, administered, or prescribed;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of optometrist who performs any treatment or service or who may have contact with a patient regarding the patient’s optometric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Optometric records will include documentation of informed consent for procedure(s) and treatment that have potential serious complications and known risks.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762.2(2)</w:t>
      </w:r>
      <w:r>
        <w:rPr>
          <w:rFonts w:ascii="Times New Roman" w:hAnsi="Times New Roman"/>
          <w:b w:val="false"/>
          <w:i w:val="false"/>
          <w:color w:val="000000"/>
          <w:sz w:val="22"/>
        </w:rPr>
        <w:t> </w:t>
      </w:r>
      <w:r>
        <w:rPr>
          <w:rFonts w:ascii="Times New Roman" w:hAnsi="Times New Roman"/>
          <w:b w:val="false"/>
          <w:i w:val="false"/>
          <w:color w:val="000000"/>
          <w:sz w:val="22"/>
        </w:rPr>
        <w:t>Retention of records. An optometrist will maintain a patient’s record(s) for a minimum of five years after the date of last examination, prescription, or treatment. Records for minors will be maintained for, at minimum, one year after the patient reaches the age of majority (18) or five years after the date of last examination, prescription, or treatment, whichever is longer.</w:t>
      </w:r>
    </w:p>
    <w:p>
      <w:pPr>
        <w:spacing w:before="0" w:after="0"/>
        <w:ind w:left="120"/>
        <w:jc w:val="both"/>
      </w:pPr>
      <w:r>
        <w:rPr>
          <w:rFonts w:ascii="Times New Roman" w:hAnsi="Times New Roman"/>
          <w:b w:val="false"/>
          <w:i w:val="false"/>
          <w:color w:val="000000"/>
          <w:sz w:val="22"/>
        </w:rPr>
        <w:t>Proper safeguards will be maintained to ensure the safety of records from destructive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762.2(3)</w:t>
      </w:r>
      <w:r>
        <w:rPr>
          <w:rFonts w:ascii="Times New Roman" w:hAnsi="Times New Roman"/>
          <w:b w:val="false"/>
          <w:i w:val="false"/>
          <w:color w:val="000000"/>
          <w:sz w:val="22"/>
        </w:rPr>
        <w:t> </w:t>
      </w:r>
      <w:r>
        <w:rPr>
          <w:rFonts w:ascii="Times New Roman" w:hAnsi="Times New Roman"/>
          <w:b w:val="false"/>
          <w:i w:val="false"/>
          <w:color w:val="000000"/>
          <w:sz w:val="22"/>
        </w:rPr>
        <w:t>Electronic recordkeeping. The requirements of this rule apply to electronic records as well as to records kept by any other means. When electronic records are kept, an optometrist will keep either a duplicate hard-copy record or a back-up unalterable electronic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762.2(4)</w:t>
      </w:r>
      <w:r>
        <w:rPr>
          <w:rFonts w:ascii="Times New Roman" w:hAnsi="Times New Roman"/>
          <w:b w:val="false"/>
          <w:i w:val="false"/>
          <w:color w:val="000000"/>
          <w:sz w:val="22"/>
        </w:rPr>
        <w:t> </w:t>
      </w:r>
      <w:r>
        <w:rPr>
          <w:rFonts w:ascii="Times New Roman" w:hAnsi="Times New Roman"/>
          <w:b w:val="false"/>
          <w:i w:val="false"/>
          <w:color w:val="000000"/>
          <w:sz w:val="22"/>
        </w:rPr>
        <w:t>Correction of records. Notations will be legible, written in ink, and contain no erasures or white-outs. If incorrect information is placed in the record, it must be crossed out with a single nondeleting line and be initialed by an optometric health care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762.2(5)</w:t>
      </w:r>
      <w:r>
        <w:rPr>
          <w:rFonts w:ascii="Times New Roman" w:hAnsi="Times New Roman"/>
          <w:b w:val="false"/>
          <w:i w:val="false"/>
          <w:color w:val="000000"/>
          <w:sz w:val="22"/>
        </w:rPr>
        <w:t> </w:t>
      </w:r>
      <w:r>
        <w:rPr>
          <w:rFonts w:ascii="Times New Roman" w:hAnsi="Times New Roman"/>
          <w:b w:val="false"/>
          <w:i w:val="false"/>
          <w:color w:val="000000"/>
          <w:sz w:val="22"/>
        </w:rPr>
        <w:t>Confidentiality and transfer of records. Optometrists will preserve the confidentiality of patient records in a manner consistent with the protection of the welfare of the patient. Upon request of the patient or the patient’s new optometrist, the optometrist will furnish such optometry records or copies of the records as will be beneficial for the future treatment of that patient. The optometrist may include a summary of the record(s) with the record(s) or copy of the record(s). The optometrist may charge a nominal fee for duplication of records, but may not refuse to transfer records for nonpayment of any fees. The optometrist may ask for a written request for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762.2(6)</w:t>
      </w:r>
      <w:r>
        <w:rPr>
          <w:rFonts w:ascii="Times New Roman" w:hAnsi="Times New Roman"/>
          <w:b w:val="false"/>
          <w:i w:val="false"/>
          <w:color w:val="000000"/>
          <w:sz w:val="22"/>
        </w:rPr>
        <w:t> </w:t>
      </w:r>
      <w:r>
        <w:rPr>
          <w:rFonts w:ascii="Times New Roman" w:hAnsi="Times New Roman"/>
          <w:b w:val="false"/>
          <w:i w:val="false"/>
          <w:color w:val="000000"/>
          <w:sz w:val="22"/>
        </w:rPr>
        <w:t>Retirement or discontinuance of practice. A licensee, upon retirement, or upon discontinuation of the practice of optometry, or upon leaving a practice or moving from a community, will notify all active patients in writing, or by publication once a week for three consecutive weeks in a newspaper of general circulation in the community, that the licensee intends to discontinue the practice of optometry in the community, and will encourage patients to seek the services of another licensee. The licensee will make reasonable arrangements with active patients for the transfer of patient records, or copies of those records, to the succeeding licensee. “Active patient” means a person whom the licensee has examined, treated, cared for, or otherwise consulted with during the two-year period prior to retirement, discontinuation of the practice of optometry, or leaving a practice or moving from a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762.2(7)</w:t>
      </w:r>
      <w:r>
        <w:rPr>
          <w:rFonts w:ascii="Times New Roman" w:hAnsi="Times New Roman"/>
          <w:b w:val="false"/>
          <w:i w:val="false"/>
          <w:color w:val="000000"/>
          <w:sz w:val="22"/>
        </w:rPr>
        <w:t> </w:t>
      </w:r>
      <w:r>
        <w:rPr>
          <w:rFonts w:ascii="Times New Roman" w:hAnsi="Times New Roman"/>
          <w:b w:val="false"/>
          <w:i w:val="false"/>
          <w:color w:val="000000"/>
          <w:sz w:val="22"/>
        </w:rPr>
        <w:t>Nothing stated in these rules will prohibit a licensee from conveying or transferring the licensee’s patient records to another licensed optometrist who is assuming a practice, provided that written notice is furnished to all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481—762.3</w:t>
      </w:r>
      <w:r>
        <w:rPr>
          <w:rFonts w:ascii="Times New Roman" w:hAnsi="Times New Roman"/>
          <w:b/>
          <w:i w:val="false"/>
          <w:color w:val="000000"/>
          <w:sz w:val="22"/>
        </w:rPr>
        <w:t xml:space="preserve">(154) </w:t>
      </w:r>
      <w:r>
        <w:rPr>
          <w:rFonts w:ascii="Times New Roman" w:hAnsi="Times New Roman"/>
          <w:b/>
          <w:i w:val="false"/>
          <w:color w:val="000000"/>
          <w:sz w:val="22"/>
        </w:rPr>
        <w:t xml:space="preserve">Furnishing prescriptions. </w:t>
      </w:r>
      <w:r>
        <w:rPr>
          <w:rFonts w:ascii="Times New Roman" w:hAnsi="Times New Roman"/>
          <w:b w:val="false"/>
          <w:i w:val="false"/>
          <w:color w:val="000000"/>
          <w:sz w:val="22"/>
        </w:rPr>
        <w:t>Before a licensed optometrist provides a spectacle or contact lens prescription to a patient, the eye examination record will include best-corrected visual acuity with ophthalmic lenses or contact lenses in the lens powers determined by refraction. Each contact lens or ophthalmic spectacle lens/eyeglass prescription by a licensed optometrist must meet the requirements as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762.3(1)</w:t>
      </w:r>
      <w:r>
        <w:rPr>
          <w:rFonts w:ascii="Times New Roman" w:hAnsi="Times New Roman"/>
          <w:b w:val="false"/>
          <w:i w:val="false"/>
          <w:color w:val="000000"/>
          <w:sz w:val="22"/>
        </w:rPr>
        <w:t> </w:t>
      </w:r>
      <w:r>
        <w:rPr>
          <w:rFonts w:ascii="Times New Roman" w:hAnsi="Times New Roman"/>
          <w:b w:val="false"/>
          <w:i w:val="false"/>
          <w:color w:val="000000"/>
          <w:sz w:val="22"/>
        </w:rPr>
        <w:t>A contact lens prescription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and date of birth of patient for whom the contact lens or lenses are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address, and signature of the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parameters required to duplicate properly the original contact lens;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specific date of expiration, not to exceed 18 months, the quantity of lenses allowed and the number of refills allowed;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the option of the prescribing practitioner, the prescription may contain fitting and material guidelines and specific instructions for use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762.3(2)</w:t>
      </w:r>
      <w:r>
        <w:rPr>
          <w:rFonts w:ascii="Times New Roman" w:hAnsi="Times New Roman"/>
          <w:b w:val="false"/>
          <w:i w:val="false"/>
          <w:color w:val="000000"/>
          <w:sz w:val="22"/>
        </w:rPr>
        <w:t> </w:t>
      </w:r>
      <w:r>
        <w:rPr>
          <w:rFonts w:ascii="Times New Roman" w:hAnsi="Times New Roman"/>
          <w:b w:val="false"/>
          <w:i w:val="false"/>
          <w:color w:val="000000"/>
          <w:sz w:val="22"/>
        </w:rPr>
        <w:t>Release of contact lens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contact lenses have been adequately adapted and the patient released from initial follow-up care by the prescribing practitioner, the prescribing practitioner will provide a copy of the contact lens prescription, at no cost, for the duplication of the original contact lens. A licensed optometrist may refuse to provide a copy of the contact lens prescription if the patient has not paid the fees associated with the examination from which the prescription was generated including applicable contact lens fitting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practitioner choosing to issue an oral prescription will furnish the same information required for the written prescription except for the written signature and address of the practitioner. An oral prescription may be released by an O.D. to any dispensing person who is a licensed professional with the O.D., M.D., D.O., or R.Ph. degree or a person under direct supervision of those licensed under Iowa Code chapter </w:t>
      </w:r>
      <w:hyperlink r:id="rId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issuing of an oral prescription will be followed by a written copy to be kept by the dispenser of the contact lenses until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762.3(3)</w:t>
      </w:r>
      <w:r>
        <w:rPr>
          <w:rFonts w:ascii="Times New Roman" w:hAnsi="Times New Roman"/>
          <w:b w:val="false"/>
          <w:i w:val="false"/>
          <w:color w:val="000000"/>
          <w:sz w:val="22"/>
        </w:rPr>
        <w:t> </w:t>
      </w:r>
      <w:r>
        <w:rPr>
          <w:rFonts w:ascii="Times New Roman" w:hAnsi="Times New Roman"/>
          <w:b w:val="false"/>
          <w:i w:val="false"/>
          <w:color w:val="000000"/>
          <w:sz w:val="22"/>
        </w:rPr>
        <w:t>An ophthalmic spectacle lens prescription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and date of birth of the patient for whom the ophthalmic lens or lenses are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address, and signature of the practitioner issuing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parameters necessary to duplicate properly the ophthalmic lens prescription;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specific date of expiration not to exceed two years.</w:t>
      </w:r>
    </w:p>
    <w:p>
      <w:pPr>
        <w:spacing w:before="0" w:after="0"/>
        <w:ind w:left="120"/>
        <w:jc w:val="both"/>
      </w:pPr>
      <w:r>
        <w:rPr>
          <w:rFonts w:ascii="Times New Roman" w:hAnsi="Times New Roman"/>
          <w:b w:val="false"/>
          <w:i w:val="false"/>
          <w:color w:val="000000"/>
          <w:sz w:val="22"/>
        </w:rPr>
        <w:t>A dispenser of ophthalmic materials, in spectacle or eyeglass form, must keep a valid copy of the prescription on file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762.3(4)</w:t>
      </w:r>
      <w:r>
        <w:rPr>
          <w:rFonts w:ascii="Times New Roman" w:hAnsi="Times New Roman"/>
          <w:b w:val="false"/>
          <w:i w:val="false"/>
          <w:color w:val="000000"/>
          <w:sz w:val="22"/>
        </w:rPr>
        <w:t> </w:t>
      </w:r>
      <w:r>
        <w:rPr>
          <w:rFonts w:ascii="Times New Roman" w:hAnsi="Times New Roman"/>
          <w:b w:val="false"/>
          <w:i w:val="false"/>
          <w:color w:val="000000"/>
          <w:sz w:val="22"/>
        </w:rPr>
        <w:t>Release of ophthalmic lens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ophthalmic lens prescription will be furnished upon request at no additional charge to the patient. A licensed optometrist may refuse to provide a copy of the ophthalmic lens prescription if the patient has not paid the fees associated with the examination from which the prescription was generated.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prescription, at the option of the prescriber, may contain adapting and material guidelines and may also contain specific instructions for use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Spectacle lens prescriptions will be in written format, according to Iowa Code section </w:t>
      </w:r>
      <w:hyperlink r:id="rId7">
        <w:r>
          <w:rPr>
            <w:rStyle w:val="Hyperlink"/>
            <w:rFonts w:ascii="Times New Roman" w:hAnsi="Times New Roman"/>
            <w:b w:val="false"/>
            <w:i w:val="false"/>
            <w:color w:val="000000"/>
            <w:sz w:val="22"/>
          </w:rPr>
          <w:t>147.109(1)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481—762.4</w:t>
      </w:r>
      <w:r>
        <w:rPr>
          <w:rFonts w:ascii="Times New Roman" w:hAnsi="Times New Roman"/>
          <w:b/>
          <w:i w:val="false"/>
          <w:color w:val="000000"/>
          <w:sz w:val="22"/>
        </w:rPr>
        <w:t xml:space="preserve">(155A) </w:t>
      </w:r>
      <w:r>
        <w:rPr>
          <w:rFonts w:ascii="Times New Roman" w:hAnsi="Times New Roman"/>
          <w:b/>
          <w:i w:val="false"/>
          <w:color w:val="000000"/>
          <w:sz w:val="22"/>
        </w:rPr>
        <w:t xml:space="preserve">Prescription drug orders. </w:t>
      </w:r>
      <w:r>
        <w:rPr>
          <w:rFonts w:ascii="Times New Roman" w:hAnsi="Times New Roman"/>
          <w:b w:val="false"/>
          <w:i w:val="false"/>
          <w:color w:val="000000"/>
          <w:sz w:val="22"/>
        </w:rPr>
        <w:t>Each prescription drug order furnished by an optometrist in this state will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762.4(1)</w:t>
      </w:r>
      <w:r>
        <w:rPr>
          <w:rFonts w:ascii="Times New Roman" w:hAnsi="Times New Roman"/>
          <w:b w:val="false"/>
          <w:i w:val="false"/>
          <w:color w:val="000000"/>
          <w:sz w:val="22"/>
        </w:rPr>
        <w:t> </w:t>
      </w:r>
      <w:r>
        <w:rPr>
          <w:rFonts w:ascii="Times New Roman" w:hAnsi="Times New Roman"/>
          <w:b w:val="false"/>
          <w:i w:val="false"/>
          <w:color w:val="000000"/>
          <w:sz w:val="22"/>
        </w:rPr>
        <w:t>Written prescription drug orders will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date of birth of the patient for whom the drug is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strength, and quantity of the drug, medicine, or device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directions for use of the drug, medicine, or device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address, and written signature of the practitioner issuing the prescription;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federal drug enforcement administration number, if required under Iowa Code chapter </w:t>
      </w:r>
      <w:hyperlink r:id="rId8">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762.4(2)</w:t>
      </w:r>
      <w:r>
        <w:rPr>
          <w:rFonts w:ascii="Times New Roman" w:hAnsi="Times New Roman"/>
          <w:b w:val="false"/>
          <w:i w:val="false"/>
          <w:color w:val="000000"/>
          <w:sz w:val="22"/>
        </w:rPr>
        <w:t> </w:t>
      </w:r>
      <w:r>
        <w:rPr>
          <w:rFonts w:ascii="Times New Roman" w:hAnsi="Times New Roman"/>
          <w:b w:val="false"/>
          <w:i w:val="false"/>
          <w:color w:val="000000"/>
          <w:sz w:val="22"/>
        </w:rPr>
        <w:t>The practitioner issuing oral prescription drug orders will furnish the same information required for a written prescription, except for the written signature and address of the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762.4(3)</w:t>
      </w:r>
      <w:r>
        <w:rPr>
          <w:rFonts w:ascii="Times New Roman" w:hAnsi="Times New Roman"/>
          <w:b w:val="false"/>
          <w:i w:val="false"/>
          <w:color w:val="000000"/>
          <w:sz w:val="22"/>
        </w:rPr>
        <w:t> </w:t>
      </w:r>
      <w:r>
        <w:rPr>
          <w:rFonts w:ascii="Times New Roman" w:hAnsi="Times New Roman"/>
          <w:b w:val="false"/>
          <w:i w:val="false"/>
          <w:color w:val="000000"/>
          <w:sz w:val="22"/>
        </w:rPr>
        <w:t>Prior to prescribing any controlled substance, an optometrist will review the patient’s information contained in the prescription monitoring program database, unless the patient is receiving inpatient hospice care or long-term residential facility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762.4(4)</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January 1, 2020, every prescription issued for a prescription drug will be transmitted electronically unless exempted pursuant to Iowa Code section </w:t>
      </w:r>
      <w:hyperlink r:id="rId9">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Beginning January 1, 2020, a licensee who fails to comply with the electronic prescription mandate may be subject to a nondisciplinary administrative penalty of $250 per violation, up to a maximum of $5,000 per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481—762.5</w:t>
      </w:r>
      <w:r>
        <w:rPr>
          <w:rFonts w:ascii="Times New Roman" w:hAnsi="Times New Roman"/>
          <w:b/>
          <w:i w:val="false"/>
          <w:color w:val="000000"/>
          <w:sz w:val="22"/>
        </w:rPr>
        <w:t xml:space="preserve">(154) </w:t>
      </w:r>
      <w:r>
        <w:rPr>
          <w:rFonts w:ascii="Times New Roman" w:hAnsi="Times New Roman"/>
          <w:b/>
          <w:i w:val="false"/>
          <w:color w:val="000000"/>
          <w:sz w:val="22"/>
        </w:rPr>
        <w:t xml:space="preserve">Use of injectables. </w:t>
      </w:r>
      <w:r>
        <w:rPr>
          <w:rFonts w:ascii="Times New Roman" w:hAnsi="Times New Roman"/>
          <w:b w:val="false"/>
          <w:i w:val="false"/>
          <w:color w:val="000000"/>
          <w:sz w:val="22"/>
        </w:rPr>
        <w:t>A licensed optometrist shall not administer any injection prior to receiving approval from the board. A licensed optometrist may administer only the following injections: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762.5(1)</w:t>
      </w:r>
      <w:r>
        <w:rPr>
          <w:rFonts w:ascii="Times New Roman" w:hAnsi="Times New Roman"/>
          <w:b w:val="false"/>
          <w:i w:val="false"/>
          <w:color w:val="000000"/>
          <w:sz w:val="22"/>
        </w:rPr>
        <w:t> </w:t>
      </w:r>
      <w:r>
        <w:rPr>
          <w:rFonts w:ascii="Times New Roman" w:hAnsi="Times New Roman"/>
          <w:b w:val="false"/>
          <w:i w:val="false"/>
          <w:color w:val="000000"/>
          <w:sz w:val="22"/>
        </w:rPr>
        <w:t>Subconjunctival injections for the medical treatment of the eye.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762.5(2)</w:t>
      </w:r>
      <w:r>
        <w:rPr>
          <w:rFonts w:ascii="Times New Roman" w:hAnsi="Times New Roman"/>
          <w:b w:val="false"/>
          <w:i w:val="false"/>
          <w:color w:val="000000"/>
          <w:sz w:val="22"/>
        </w:rPr>
        <w:t> </w:t>
      </w:r>
      <w:r>
        <w:rPr>
          <w:rFonts w:ascii="Times New Roman" w:hAnsi="Times New Roman"/>
          <w:b w:val="false"/>
          <w:i w:val="false"/>
          <w:color w:val="000000"/>
          <w:sz w:val="22"/>
        </w:rPr>
        <w:t>Intralesional injections for the treatment of chalazia.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762.5(3)</w:t>
      </w:r>
      <w:r>
        <w:rPr>
          <w:rFonts w:ascii="Times New Roman" w:hAnsi="Times New Roman"/>
          <w:b w:val="false"/>
          <w:i w:val="false"/>
          <w:color w:val="000000"/>
          <w:sz w:val="22"/>
        </w:rPr>
        <w:t> </w:t>
      </w:r>
      <w:r>
        <w:rPr>
          <w:rFonts w:ascii="Times New Roman" w:hAnsi="Times New Roman"/>
          <w:b w:val="false"/>
          <w:i w:val="false"/>
          <w:color w:val="000000"/>
          <w:sz w:val="22"/>
        </w:rPr>
        <w:t>Botulinum toxin to the muscles of facial expression innervated by the facial nerve, including for cosmetic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762.5(4)</w:t>
      </w:r>
      <w:r>
        <w:rPr>
          <w:rFonts w:ascii="Times New Roman" w:hAnsi="Times New Roman"/>
          <w:b w:val="false"/>
          <w:i w:val="false"/>
          <w:color w:val="000000"/>
          <w:sz w:val="22"/>
        </w:rPr>
        <w:t> </w:t>
      </w:r>
      <w:r>
        <w:rPr>
          <w:rFonts w:ascii="Times New Roman" w:hAnsi="Times New Roman"/>
          <w:b w:val="false"/>
          <w:i w:val="false"/>
          <w:color w:val="000000"/>
          <w:sz w:val="22"/>
        </w:rPr>
        <w:t>Injections to counteract an anaphylactic reaction.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762.5(5)</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anesthetics prior to a minor surgical procedure authorized by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481—762.6</w:t>
      </w:r>
      <w:r>
        <w:rPr>
          <w:rFonts w:ascii="Times New Roman" w:hAnsi="Times New Roman"/>
          <w:b/>
          <w:i w:val="false"/>
          <w:color w:val="000000"/>
          <w:sz w:val="22"/>
        </w:rPr>
        <w:t xml:space="preserve">(154) </w:t>
      </w:r>
      <w:r>
        <w:rPr>
          <w:rFonts w:ascii="Times New Roman" w:hAnsi="Times New Roman"/>
          <w:b/>
          <w:i w:val="false"/>
          <w:color w:val="000000"/>
          <w:sz w:val="22"/>
        </w:rPr>
        <w:t xml:space="preserve">Education and training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762.6(1)</w:t>
      </w:r>
      <w:r>
        <w:rPr>
          <w:rFonts w:ascii="Times New Roman" w:hAnsi="Times New Roman"/>
          <w:b w:val="false"/>
          <w:i w:val="false"/>
          <w:color w:val="000000"/>
          <w:sz w:val="22"/>
        </w:rPr>
        <w:t> </w:t>
      </w:r>
      <w:r>
        <w:rPr>
          <w:rFonts w:ascii="Times New Roman" w:hAnsi="Times New Roman"/>
          <w:b w:val="false"/>
          <w:i w:val="false"/>
          <w:color w:val="000000"/>
          <w:sz w:val="22"/>
        </w:rPr>
        <w:t>The board will not approve the use of injections other than to counteract an anaphylactic reaction unless the licensed optometrist demonstrates to the board sufficient educational or clinical training from a college or university accredited by a regional or professional accreditation organization that is recognized or approved by the Council for Higher Education Accreditation or by the United States Department of Education, or clinical training equivalent to clinical training offered by such an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762.6(2)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optometrist who completes the requirements of rule </w:t>
      </w:r>
      <w:hyperlink r:id="rId11">
        <w:r>
          <w:rPr>
            <w:rStyle w:val="Hyperlink"/>
            <w:rFonts w:ascii="Times New Roman" w:hAnsi="Times New Roman"/>
            <w:b w:val="false"/>
            <w:i w:val="false"/>
            <w:color w:val="000000"/>
            <w:sz w:val="22"/>
          </w:rPr>
          <w:t>481—762.7</w:t>
        </w:r>
      </w:hyperlink>
      <w:r>
        <w:rPr>
          <w:rFonts w:ascii="Times New Roman" w:hAnsi="Times New Roman"/>
          <w:b w:val="false"/>
          <w:i w:val="false"/>
          <w:color w:val="000000"/>
          <w:sz w:val="22"/>
        </w:rPr>
        <w:t>(154) is deemed approved by the board for use of injectables as outlined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481—762.7</w:t>
      </w:r>
      <w:r>
        <w:rPr>
          <w:rFonts w:ascii="Times New Roman" w:hAnsi="Times New Roman"/>
          <w:b/>
          <w:i w:val="false"/>
          <w:color w:val="000000"/>
          <w:sz w:val="22"/>
        </w:rPr>
        <w:t xml:space="preserve">(154) </w:t>
      </w:r>
      <w:r>
        <w:rPr>
          <w:rFonts w:ascii="Times New Roman" w:hAnsi="Times New Roman"/>
          <w:b/>
          <w:i w:val="false"/>
          <w:color w:val="000000"/>
          <w:sz w:val="22"/>
        </w:rPr>
        <w:t xml:space="preserve">Education and training. </w:t>
      </w:r>
      <w:r>
        <w:rPr>
          <w:rFonts w:ascii="Times New Roman" w:hAnsi="Times New Roman"/>
          <w:b w:val="false"/>
          <w:i w:val="false"/>
          <w:color w:val="000000"/>
          <w:sz w:val="22"/>
        </w:rPr>
        <w:t>In order to use injections, a licensed optometrist will be able to show proof of completion of the following requirements for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762.7(1)</w:t>
      </w:r>
      <w:r>
        <w:rPr>
          <w:rFonts w:ascii="Times New Roman" w:hAnsi="Times New Roman"/>
          <w:b w:val="false"/>
          <w:i w:val="false"/>
          <w:color w:val="000000"/>
          <w:sz w:val="22"/>
        </w:rPr>
        <w:t> </w:t>
      </w:r>
      <w:r>
        <w:rPr>
          <w:rFonts w:ascii="Times New Roman" w:hAnsi="Times New Roman"/>
          <w:b w:val="false"/>
          <w:i w:val="false"/>
          <w:color w:val="000000"/>
          <w:sz w:val="22"/>
        </w:rPr>
        <w:t>Be fully licensed and in good standing within the state of Iowa as a licensed optometrist.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762.7(2)</w:t>
      </w:r>
      <w:r>
        <w:rPr>
          <w:rFonts w:ascii="Times New Roman" w:hAnsi="Times New Roman"/>
          <w:b w:val="false"/>
          <w:i w:val="false"/>
          <w:color w:val="000000"/>
          <w:sz w:val="22"/>
        </w:rPr>
        <w:t> </w:t>
      </w:r>
      <w:r>
        <w:rPr>
          <w:rFonts w:ascii="Times New Roman" w:hAnsi="Times New Roman"/>
          <w:b w:val="false"/>
          <w:i w:val="false"/>
          <w:color w:val="000000"/>
          <w:sz w:val="22"/>
        </w:rPr>
        <w:t>Have completed a total of 24 hours of approved educational training pertaining to injections.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4 hours of the 24 hours must be clinical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5 hours of the 24 hours must pertain to the administration and side effects of injection treatment for botulinum toxin and chalazia.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2">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7/18/02, Notice 5/15/02—published 8/7/02, effective 9/11/02]</w:t>
      </w:r>
    </w:p>
    <w:p>
      <w:pPr>
        <w:spacing w:before="0" w:after="0"/>
        <w:ind w:left="120"/>
        <w:jc w:val="center"/>
      </w:pPr>
      <w:r>
        <w:rPr>
          <w:rFonts w:ascii="Times New Roman" w:hAnsi="Times New Roman"/>
          <w:b w:val="false"/>
          <w:i w:val="false"/>
          <w:color w:val="000000"/>
          <w:sz w:val="21"/>
        </w:rPr>
        <w:t>[Filed ARC 9641B</w:t>
      </w:r>
      <w:r>
        <w:rPr>
          <w:rFonts w:ascii="Times New Roman" w:hAnsi="Times New Roman"/>
          <w:b w:val="false"/>
          <w:i w:val="false"/>
          <w:color w:val="000000"/>
          <w:sz w:val="21"/>
        </w:rPr>
        <w:t xml:space="preserve"> (Notice ARC 9519B, IAB 5/18/11)</w:t>
      </w:r>
      <w:r>
        <w:rPr>
          <w:rFonts w:ascii="Times New Roman" w:hAnsi="Times New Roman"/>
          <w:b w:val="false"/>
          <w:i w:val="false"/>
          <w:color w:val="000000"/>
          <w:sz w:val="21"/>
        </w:rPr>
        <w:t>, IAB 7/27/11, effective 8/31/11]</w:t>
      </w:r>
    </w:p>
    <w:p>
      <w:pPr>
        <w:spacing w:before="0" w:after="0"/>
        <w:ind w:left="120"/>
        <w:jc w:val="center"/>
      </w:pPr>
      <w:r>
        <w:rPr>
          <w:rFonts w:ascii="Times New Roman" w:hAnsi="Times New Roman"/>
          <w:b w:val="false"/>
          <w:i w:val="false"/>
          <w:color w:val="000000"/>
          <w:sz w:val="21"/>
        </w:rPr>
        <w:t>[Filed ARC 0899C</w:t>
      </w:r>
      <w:r>
        <w:rPr>
          <w:rFonts w:ascii="Times New Roman" w:hAnsi="Times New Roman"/>
          <w:b w:val="false"/>
          <w:i w:val="false"/>
          <w:color w:val="000000"/>
          <w:sz w:val="21"/>
        </w:rPr>
        <w:t xml:space="preserve"> (Notice ARC 0680C, IAB 4/3/13)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3428C</w:t>
      </w:r>
      <w:r>
        <w:rPr>
          <w:rFonts w:ascii="Times New Roman" w:hAnsi="Times New Roman"/>
          <w:b w:val="false"/>
          <w:i w:val="false"/>
          <w:color w:val="000000"/>
          <w:sz w:val="21"/>
        </w:rPr>
        <w:t xml:space="preserve"> (Notice ARC 3223C,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4951C</w:t>
      </w:r>
      <w:r>
        <w:rPr>
          <w:rFonts w:ascii="Times New Roman" w:hAnsi="Times New Roman"/>
          <w:b w:val="false"/>
          <w:i w:val="false"/>
          <w:color w:val="000000"/>
          <w:sz w:val="21"/>
        </w:rPr>
        <w:t xml:space="preserve"> (Notice ARC 4668C, IAB 9/25/19)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5160C</w:t>
      </w:r>
      <w:r>
        <w:rPr>
          <w:rFonts w:ascii="Times New Roman" w:hAnsi="Times New Roman"/>
          <w:b w:val="false"/>
          <w:i w:val="false"/>
          <w:color w:val="000000"/>
          <w:sz w:val="21"/>
        </w:rPr>
        <w:t xml:space="preserve"> (Notice ARC 5003C, IAB 3/25/20)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5672C</w:t>
      </w:r>
      <w:r>
        <w:rPr>
          <w:rFonts w:ascii="Times New Roman" w:hAnsi="Times New Roman"/>
          <w:b w:val="false"/>
          <w:i w:val="false"/>
          <w:color w:val="000000"/>
          <w:sz w:val="21"/>
        </w:rPr>
        <w:t xml:space="preserve"> (Notice ARC 5383C, IAB 1/13/21)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[Filed ARC 7976C</w:t>
      </w:r>
      <w:r>
        <w:rPr>
          <w:rFonts w:ascii="Times New Roman" w:hAnsi="Times New Roman"/>
          <w:b w:val="false"/>
          <w:i w:val="false"/>
          <w:color w:val="000000"/>
          <w:sz w:val="21"/>
        </w:rPr>
        <w:t xml:space="preserve"> (Notice ARC 7474C,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8.pdf" Type="http://schemas.openxmlformats.org/officeDocument/2006/relationships/hyperlink" Id="rId4"/>
    <Relationship TargetMode="External" Target="https://www.legis.iowa.gov/docs/ico/chapter/154.pdf" Type="http://schemas.openxmlformats.org/officeDocument/2006/relationships/hyperlink" Id="rId5"/>
    <Relationship TargetMode="External" Target="https://www.legis.iowa.gov/docs/ico/chapter/155A.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124.pdf" Type="http://schemas.openxmlformats.org/officeDocument/2006/relationships/hyperlink" Id="rId8"/>
    <Relationship TargetMode="External" Target="https://www.legis.iowa.gov/docs/ico/chapter/124.pdf" Type="http://schemas.openxmlformats.org/officeDocument/2006/relationships/hyperlink" Id="rId9"/>
    <Relationship TargetMode="External" Target="https://www.legis.iowa.gov/docs/ico/chapter/155A.pdf" Type="http://schemas.openxmlformats.org/officeDocument/2006/relationships/hyperlink" Id="rId10"/>
    <Relationship TargetMode="External" Target="https://www.legis.iowa.gov/docs/iac/rule/481.762.7.pdf" Type="http://schemas.openxmlformats.org/officeDocument/2006/relationships/hyperlink" Id="rId11"/>
    <Relationship TargetMode="External" Target="https://www.legis.iowa.gov/docs/ico/chapter/154.pdf" Type="http://schemas.openxmlformats.org/officeDocument/2006/relationships/hyperlink" Id="rId12"/>
    <Relationship TargetMode="External" Target="https://www.legis.iowa.gov/docs/ico/chapter/155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