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743</w:t>
      </w:r>
    </w:p>
    <w:p>
      <w:pPr>
        <w:spacing w:before="0" w:after="0"/>
        <w:ind w:left="120"/>
        <w:jc w:val="center"/>
      </w:pPr>
      <w:r>
        <w:rPr>
          <w:rFonts w:ascii="Times New Roman" w:hAnsi="Times New Roman"/>
          <w:b w:val="false"/>
          <w:i w:val="false"/>
          <w:color w:val="000000"/>
          <w:sz w:val="21"/>
        </w:rPr>
        <w:t>DISCIPLINE FOR SPEECH PATHOLOGISTS AND AUDIOLOGISTS</w:t>
      </w:r>
    </w:p>
    <w:p>
      <w:pPr>
        <w:spacing w:before="0" w:after="0"/>
        <w:ind w:left="120"/>
        <w:jc w:val="center"/>
      </w:pPr>
      <w:r>
        <w:rPr>
          <w:rFonts w:ascii="Times New Roman" w:hAnsi="Times New Roman"/>
          <w:b w:val="false"/>
          <w:i w:val="false"/>
          <w:color w:val="000000"/>
          <w:sz w:val="14"/>
        </w:rPr>
        <w:t>[Prior to 9/9/87, see Health Department [470], Ch 156]</w:t>
      </w:r>
    </w:p>
    <w:p>
      <w:pPr>
        <w:spacing w:before="0" w:after="0"/>
        <w:ind w:left="120"/>
        <w:jc w:val="center"/>
      </w:pPr>
      <w:r>
        <w:rPr>
          <w:rFonts w:ascii="Times New Roman" w:hAnsi="Times New Roman"/>
          <w:b w:val="false"/>
          <w:i w:val="false"/>
          <w:color w:val="000000"/>
          <w:sz w:val="14"/>
        </w:rPr>
        <w:t>[Prior to 9/19/01, see 645—Chapter 301]</w:t>
      </w:r>
    </w:p>
    <w:p>
      <w:pPr>
        <w:spacing w:before="0" w:after="0"/>
        <w:ind w:left="120"/>
        <w:jc w:val="center"/>
      </w:pPr>
      <w:r>
        <w:rPr>
          <w:rFonts w:ascii="Times New Roman" w:hAnsi="Times New Roman"/>
          <w:b w:val="false"/>
          <w:i w:val="false"/>
          <w:color w:val="000000"/>
          <w:sz w:val="14"/>
        </w:rPr>
        <w:t>[Prior to 9/18/24, see Professional Licensure Division[645] Ch 304]</w:t>
      </w:r>
    </w:p>
    <w:p>
      <w:pPr>
        <w:spacing w:before="0" w:after="0"/>
        <w:ind w:left="120"/>
        <w:jc w:val="both"/>
      </w:pPr>
      <w:r>
        <w:rPr>
          <w:rFonts w:ascii="Times New Roman" w:hAnsi="Times New Roman"/>
          <w:b/>
          <w:i w:val="false"/>
          <w:color w:val="000000"/>
          <w:sz w:val="22"/>
        </w:rPr>
        <w:t>481—743.1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4">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rule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743.1(1)</w:t>
      </w:r>
      <w:r>
        <w:rPr>
          <w:rFonts w:ascii="Times New Roman" w:hAnsi="Times New Roman"/>
          <w:b w:val="false"/>
          <w:i w:val="false"/>
          <w:color w:val="000000"/>
          <w:sz w:val="22"/>
        </w:rPr>
        <w:t> </w:t>
      </w:r>
      <w:r>
        <w:rPr>
          <w:rFonts w:ascii="Times New Roman" w:hAnsi="Times New Roman"/>
          <w:b w:val="false"/>
          <w:i w:val="false"/>
          <w:color w:val="000000"/>
          <w:sz w:val="22"/>
        </w:rPr>
        <w:t>Violation of the following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will provide ethical, professional services, conduct research with honesty and compassion, and respect the dignity, worth and rights of those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of expected clinical results will be based upon sound evidence and shall accurately convey the probability and degree of expected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will be adequately maintained for the period of time required by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served professionally or the files of such persons will be used for teaching or research purposes only after obtaining informed consent from those persons or from the legal guardians of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of a personal or professional nature obtained from persons served professionally will be released only to individuals authorized by the persons receiving professional service or to those individuals to whom release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who engage in research will comply with all institutional, state, and federal regulations that address any aspects of research, including those that involve human participants and animals, such as those promulgated in the current Responsible Conduct of Research by the U.S. Office of Research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Individuals in administrative or supervisory roles will not require or permit their professional staff to provide services or conduct clinical activities that compromise the staff members’ independent and objective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Relationships between professionals and between a professional and a client shall be based on high personal regard and mutual respect without concern for race, religious preference, sex, age, ethnicity, gender identity/gender expression, sexual orientation, national origin, disability, culture, language or dialect.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Referral of clients for additional services or evaluation and recommendation of sources for purchasing appliances will be without any consideration for financial or material gain to the licensee making the referral or recommendation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Licensees who dispense products to persons served professionally will provide clients with freedom of choice for the source of services and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current Food and Drug Administration regulations 21 CFR §801.420 (2022), “Hearing aid devices; professional and patient labeling,” and 21 CFR §801.421 (2022), “Hearing aid devices; conditions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will comply with universal newborn and infant hearing screening requirements within Iowa Code section </w:t>
      </w:r>
      <w:hyperlink r:id="rId6">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641—Chapter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6/23/78, Notice 12/28/77—published 7/12/78, effective 8/16/78]</w:t>
      </w:r>
    </w:p>
    <w:p>
      <w:pPr>
        <w:spacing w:before="0" w:after="0"/>
        <w:ind w:left="120"/>
        <w:jc w:val="center"/>
      </w:pPr>
      <w:r>
        <w:rPr>
          <w:rFonts w:ascii="Times New Roman" w:hAnsi="Times New Roman"/>
          <w:b w:val="false"/>
          <w:i w:val="false"/>
          <w:color w:val="000000"/>
          <w:sz w:val="21"/>
        </w:rPr>
        <w:t>[Filed 3/20/79, Notice 10/18/78—published 4/18/79, effective 6/1/79]</w:t>
      </w:r>
    </w:p>
    <w:p>
      <w:pPr>
        <w:spacing w:before="0" w:after="0"/>
        <w:ind w:left="120"/>
        <w:jc w:val="center"/>
      </w:pPr>
      <w:r>
        <w:rPr>
          <w:rFonts w:ascii="Times New Roman" w:hAnsi="Times New Roman"/>
          <w:b w:val="false"/>
          <w:i w:val="false"/>
          <w:color w:val="000000"/>
          <w:sz w:val="21"/>
        </w:rPr>
        <w:t>[Filed emergency 5/23/79—published 6/13/79, effective 7/1/79]</w:t>
      </w:r>
    </w:p>
    <w:p>
      <w:pPr>
        <w:spacing w:before="0" w:after="0"/>
        <w:ind w:left="120"/>
        <w:jc w:val="center"/>
      </w:pPr>
      <w:r>
        <w:rPr>
          <w:rFonts w:ascii="Times New Roman" w:hAnsi="Times New Roman"/>
          <w:b w:val="false"/>
          <w:i w:val="false"/>
          <w:color w:val="000000"/>
          <w:sz w:val="21"/>
        </w:rPr>
        <w:t>[Filed 6/6/79, Notice 4/18/79—published 6/27/79, effective 8/1/79]</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12/16/81, Notice 9/16/81—published 1/6/82, effective 2/12/82]</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emergency 11/15/84—published 12/5/84, effective 11/15/84]</w:t>
      </w:r>
    </w:p>
    <w:p>
      <w:pPr>
        <w:spacing w:before="0" w:after="0"/>
        <w:ind w:left="120"/>
        <w:jc w:val="center"/>
      </w:pPr>
      <w:r>
        <w:rPr>
          <w:rFonts w:ascii="Times New Roman" w:hAnsi="Times New Roman"/>
          <w:b w:val="false"/>
          <w:i w:val="false"/>
          <w:color w:val="000000"/>
          <w:sz w:val="21"/>
        </w:rPr>
        <w:t>[Filed 11/16/84, Notice 10/10/84—published 12/5/84, effective 1/9/85]</w:t>
      </w:r>
    </w:p>
    <w:p>
      <w:pPr>
        <w:spacing w:before="0" w:after="0"/>
        <w:ind w:left="120"/>
        <w:jc w:val="center"/>
      </w:pPr>
      <w:r>
        <w:rPr>
          <w:rFonts w:ascii="Times New Roman" w:hAnsi="Times New Roman"/>
          <w:b w:val="false"/>
          <w:i w:val="false"/>
          <w:color w:val="000000"/>
          <w:sz w:val="21"/>
        </w:rPr>
        <w:t>[Filed 1/10/86, Notice 7/17/85—published 1/29/86, effective 3/6/86]</w:t>
      </w:r>
    </w:p>
    <w:p>
      <w:pPr>
        <w:spacing w:before="0" w:after="0"/>
        <w:ind w:left="120"/>
        <w:jc w:val="center"/>
      </w:pPr>
      <w:r>
        <w:rPr>
          <w:rFonts w:ascii="Times New Roman" w:hAnsi="Times New Roman"/>
          <w:b w:val="false"/>
          <w:i w:val="false"/>
          <w:color w:val="000000"/>
          <w:sz w:val="21"/>
        </w:rPr>
        <w:t>[Filed 12/10/86, Notice 7/16/86—published 12/31/86, effective 2/4/87]</w:t>
      </w:r>
    </w:p>
    <w:p>
      <w:pPr>
        <w:spacing w:before="0" w:after="0"/>
        <w:ind w:left="120"/>
        <w:jc w:val="center"/>
      </w:pPr>
      <w:r>
        <w:rPr>
          <w:rFonts w:ascii="Times New Roman" w:hAnsi="Times New Roman"/>
          <w:b w:val="false"/>
          <w:i w:val="false"/>
          <w:color w:val="000000"/>
          <w:sz w:val="21"/>
        </w:rPr>
        <w:t>[Filed emergency 8/21/87—published 9/9/87, effective 9/1/87]</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7/26/90, Notice 6/13/90—published 8/22/90, effective 9/26/90]</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8/14/92, Notice 4/15/92—published 9/2/92, effective 10/7/92]</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10/7/94, Notice 8/3/94—published 10/26/94, effective 11/30/94]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p>
    <w:p>
      <w:pPr>
        <w:spacing w:before="0" w:after="0"/>
        <w:ind w:left="120"/>
        <w:jc w:val="center"/>
      </w:pPr>
      <w:r>
        <w:rPr>
          <w:rFonts w:ascii="Times New Roman" w:hAnsi="Times New Roman"/>
          <w:b w:val="false"/>
          <w:i w:val="false"/>
          <w:color w:val="000000"/>
          <w:sz w:val="21"/>
        </w:rPr>
        <w:t>[Filed 11/4/05, Notice 9/14/05—published 11/23/05, effective 12/28/05]</w:t>
      </w:r>
    </w:p>
    <w:p>
      <w:pPr>
        <w:spacing w:before="0" w:after="0"/>
        <w:ind w:left="120"/>
        <w:jc w:val="center"/>
      </w:pPr>
      <w:r>
        <w:rPr>
          <w:rFonts w:ascii="Times New Roman" w:hAnsi="Times New Roman"/>
          <w:b w:val="false"/>
          <w:i w:val="false"/>
          <w:color w:val="000000"/>
          <w:sz w:val="21"/>
        </w:rPr>
        <w:t>[Filed 3/15/06, Notice 11/23/05—published 4/12/06, effective 5/17/06]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4215C</w:t>
      </w:r>
      <w:r>
        <w:rPr>
          <w:rFonts w:ascii="Times New Roman" w:hAnsi="Times New Roman"/>
          <w:b w:val="false"/>
          <w:i w:val="false"/>
          <w:color w:val="000000"/>
          <w:sz w:val="21"/>
        </w:rPr>
        <w:t xml:space="preserve"> (Notice ARC 4036C,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7828C</w:t>
      </w:r>
      <w:r>
        <w:rPr>
          <w:rFonts w:ascii="Times New Roman" w:hAnsi="Times New Roman"/>
          <w:b w:val="false"/>
          <w:i w:val="false"/>
          <w:color w:val="000000"/>
          <w:sz w:val="21"/>
        </w:rPr>
        <w:t xml:space="preserve"> (Notice ARC 7471C,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4.3.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s://www.legis.iowa.gov/docs/ico/chapter/135.pdf" Type="http://schemas.openxmlformats.org/officeDocument/2006/relationships/hyperlink" Id="rId6"/>
    <Relationship TargetMode="External" Target="https://www.legis.iowa.gov/docs/iac/chapter/641.3.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