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742</w:t>
      </w:r>
    </w:p>
    <w:p>
      <w:pPr>
        <w:spacing w:before="0" w:after="0"/>
        <w:ind w:left="120"/>
        <w:jc w:val="center"/>
      </w:pPr>
      <w:r>
        <w:rPr>
          <w:rFonts w:ascii="Times New Roman" w:hAnsi="Times New Roman"/>
          <w:b w:val="false"/>
          <w:i w:val="false"/>
          <w:color w:val="000000"/>
          <w:sz w:val="21"/>
        </w:rPr>
        <w:t>CONTINUING EDUCATION FOR SPEECH PATHOLOGISTS</w:t>
      </w:r>
      <w:r>
        <w:br/>
      </w:r>
      <w:r>
        <w:rPr>
          <w:rFonts w:ascii="Times New Roman" w:hAnsi="Times New Roman"/>
          <w:b w:val="false"/>
          <w:i w:val="false"/>
          <w:color w:val="000000"/>
          <w:sz w:val="21"/>
        </w:rPr>
        <w:t>AND AUDIOLOGISTS</w:t>
      </w:r>
    </w:p>
    <w:p>
      <w:pPr>
        <w:spacing w:before="0" w:after="0"/>
        <w:ind w:left="120"/>
        <w:jc w:val="center"/>
      </w:pPr>
      <w:r>
        <w:rPr>
          <w:rFonts w:ascii="Times New Roman" w:hAnsi="Times New Roman"/>
          <w:b w:val="false"/>
          <w:i w:val="false"/>
          <w:color w:val="000000"/>
          <w:sz w:val="14"/>
        </w:rPr>
        <w:t>[Prior to 9/18/24, see Professional Licensure Division[645] Ch 303]</w:t>
      </w:r>
    </w:p>
    <w:p>
      <w:pPr>
        <w:spacing w:before="0" w:after="0"/>
        <w:ind w:left="120"/>
        <w:jc w:val="both"/>
      </w:pPr>
      <w:r>
        <w:rPr>
          <w:rFonts w:ascii="Times New Roman" w:hAnsi="Times New Roman"/>
          <w:b/>
          <w:i w:val="false"/>
          <w:color w:val="000000"/>
          <w:sz w:val="22"/>
        </w:rPr>
        <w:t>481—742.1</w:t>
      </w:r>
      <w:r>
        <w:rPr>
          <w:rFonts w:ascii="Times New Roman" w:hAnsi="Times New Roman"/>
          <w:b/>
          <w:i w:val="false"/>
          <w:color w:val="000000"/>
          <w:sz w:val="22"/>
        </w:rPr>
        <w:t xml:space="preserve">(147)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“AAA” </w:t>
      </w:r>
      <w:r>
        <w:rPr>
          <w:rFonts w:ascii="Times New Roman" w:hAnsi="Times New Roman"/>
          <w:b w:val="false"/>
          <w:i w:val="false"/>
          <w:color w:val="000000"/>
          <w:sz w:val="22"/>
        </w:rPr>
        <w:t>means the American Association of Audiology.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“ASHA” </w:t>
      </w:r>
      <w:r>
        <w:rPr>
          <w:rFonts w:ascii="Times New Roman" w:hAnsi="Times New Roman"/>
          <w:b w:val="false"/>
          <w:i w:val="false"/>
          <w:color w:val="000000"/>
          <w:sz w:val="22"/>
        </w:rPr>
        <w:t>means the American Speech-Language Hearing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speech pathology and audiology.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an approved program/activity that is directly related to the sciences or contemporary clinical practice of audiology, speech-language pathology and speech-language-hearing science and whose content and focus are beyond the basic preparation required for entry into the professions.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speech pathology or audiology or both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481—742.2</w:t>
      </w:r>
      <w:r>
        <w:rPr>
          <w:rFonts w:ascii="Times New Roman" w:hAnsi="Times New Roman"/>
          <w:b/>
          <w:i w:val="false"/>
          <w:color w:val="000000"/>
          <w:sz w:val="22"/>
        </w:rPr>
        <w:t xml:space="preserve">(147)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will run concurrently with each two-year period between January 1 of each even-numbered year and December 31 of each odd-numbered year. Each biennium, a person who is licensed to practice as a speech pathology or audiology licensee in this state will be required to complete a minimum of 26 hours of continuing education approved by the board. A person holding licensure in both speech pathology and audiology must meet the requirements for each profession. Continuing education hours do not carry over.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742.2(2)</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Those persons licensed for the first time will not be required to complete continuing education as a prerequisite for the first renewal of their licenses. Continuing education hours acquired anytime from the initial licensing until the second license renewal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742.2(3)</w:t>
      </w:r>
      <w:r>
        <w:rPr>
          <w:rFonts w:ascii="Times New Roman" w:hAnsi="Times New Roman"/>
          <w:b w:val="false"/>
          <w:i w:val="false"/>
          <w:color w:val="000000"/>
          <w:sz w:val="22"/>
        </w:rPr>
        <w:t> </w:t>
      </w:r>
      <w:r>
        <w:rPr>
          <w:rFonts w:ascii="Times New Roman" w:hAnsi="Times New Roman"/>
          <w:b w:val="false"/>
          <w:i w:val="false"/>
          <w:color w:val="000000"/>
          <w:sz w:val="22"/>
        </w:rPr>
        <w:t xml:space="preserve">Hours of continuing education credit may be obtained by participation in an approved program or activity. Such programs and activities may take place individually or in group settings including in-person conferences, journal readings, teleconferences, videoconferences and online programs or activities as long as such programs and activities meet the criteria specified in the definition of continuing education in rule </w:t>
      </w:r>
      <w:hyperlink r:id="rId4">
        <w:r>
          <w:rPr>
            <w:rStyle w:val="Hyperlink"/>
            <w:rFonts w:ascii="Times New Roman" w:hAnsi="Times New Roman"/>
            <w:b w:val="false"/>
            <w:i w:val="false"/>
            <w:color w:val="000000"/>
            <w:sz w:val="22"/>
          </w:rPr>
          <w:t>481—742.1</w:t>
        </w:r>
      </w:hyperlink>
      <w:r>
        <w:rPr>
          <w:rFonts w:ascii="Times New Roman" w:hAnsi="Times New Roman"/>
          <w:b w:val="false"/>
          <w:i w:val="false"/>
          <w:color w:val="000000"/>
          <w:sz w:val="22"/>
        </w:rPr>
        <w:t>(147).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742.2(4)</w:t>
      </w:r>
      <w:r>
        <w:rPr>
          <w:rFonts w:ascii="Times New Roman" w:hAnsi="Times New Roman"/>
          <w:b w:val="false"/>
          <w:i w:val="false"/>
          <w:color w:val="000000"/>
          <w:sz w:val="22"/>
        </w:rPr>
        <w:t> </w:t>
      </w:r>
      <w:r>
        <w:rPr>
          <w:rFonts w:ascii="Times New Roman" w:hAnsi="Times New Roman"/>
          <w:b w:val="false"/>
          <w:i w:val="false"/>
          <w:color w:val="000000"/>
          <w:sz w:val="22"/>
        </w:rPr>
        <w:t>No hours of continuing education will be carried over into the next biennium except as stated for second renewal. A licensee whose license was reactivated during the current renewal compliance period may use continuing education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742.2(5)</w:t>
      </w:r>
      <w:r>
        <w:rPr>
          <w:rFonts w:ascii="Times New Roman" w:hAnsi="Times New Roman"/>
          <w:b w:val="false"/>
          <w:i w:val="false"/>
          <w:color w:val="000000"/>
          <w:sz w:val="22"/>
        </w:rPr>
        <w:t> </w:t>
      </w:r>
      <w:r>
        <w:rPr>
          <w:rFonts w:ascii="Times New Roman" w:hAnsi="Times New Roman"/>
          <w:b w:val="false"/>
          <w:i w:val="false"/>
          <w:color w:val="000000"/>
          <w:sz w:val="22"/>
        </w:rPr>
        <w:t>The licensee is responsible for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481—742.3</w:t>
      </w:r>
      <w:r>
        <w:rPr>
          <w:rFonts w:ascii="Times New Roman" w:hAnsi="Times New Roman"/>
          <w:b/>
          <w:i w:val="false"/>
          <w:color w:val="000000"/>
          <w:sz w:val="22"/>
        </w:rPr>
        <w:t xml:space="preserve">(147,272C)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program or activity that meets all of the following criteria is appropriate for continuing education credit if the continuing education program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definition of continuing education as defined in rule </w:t>
      </w:r>
      <w:hyperlink r:id="rId5">
        <w:r>
          <w:rPr>
            <w:rStyle w:val="Hyperlink"/>
            <w:rFonts w:ascii="Times New Roman" w:hAnsi="Times New Roman"/>
            <w:b w:val="false"/>
            <w:i w:val="false"/>
            <w:color w:val="000000"/>
            <w:sz w:val="22"/>
          </w:rPr>
          <w:t>481—742.1</w:t>
        </w:r>
      </w:hyperlink>
      <w:r>
        <w:rPr>
          <w:rFonts w:ascii="Times New Roman" w:hAnsi="Times New Roman"/>
          <w:b w:val="false"/>
          <w:i w:val="false"/>
          <w:color w:val="000000"/>
          <w:sz w:val="22"/>
        </w:rPr>
        <w:t>(147);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in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Fulfills state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Subject matters that integrally relate to the practice of speech pathology or audiology or both that will be considered for approval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Basic communication processes. Information (beyond the basic licensure requirements) applicable to the normal development and use of speech, language, and hearing, i.e., anatomic and physiologic bases for the normal development and use of speech, language, and hearing; physical bases and processes of the production and perception of speech, language, and hearing; linguistic and psycholinguistic variables related to normal development and use of speech, language, and hearing; and technological, biomedical, engineering, and instrumentation information that would enable expansion of knowledge in the basic communication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Professional areas. Information pertaining to disorders of speech, language, and hearing, i.e., various types of disorders of communication, their manifestations, classification and causes; evaluation skills, including procedures, techniques, and instrumentation for assessment; and management procedures and principles in habilitation and rehabilitation of communication disorders. The board will accept dysphagia courses provided by qualified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Related areas. Study pertaining to the understanding of human behavior, both normal and abnormal, as well as services available from related professions that apply to the contemporary practice of speech-language pathology/audiology, e.g., theories of learning and behavior; services available from related professions that also deal with persons who have disorders of communication; information from these professions about the sensory, physical, emotional, social or intellectual states of child or adult; professional ethics; clinical supervision; counseling; and interviewing.</w:t>
      </w:r>
    </w:p>
    <w:p>
      <w:pPr>
        <w:spacing w:before="0" w:after="0"/>
        <w:ind w:left="120"/>
        <w:jc w:val="both"/>
      </w:pPr>
      <w:r>
        <w:rPr>
          <w:rFonts w:ascii="Times New Roman" w:hAnsi="Times New Roman"/>
          <w:b w:val="false"/>
          <w:i w:val="false"/>
          <w:color w:val="000000"/>
          <w:sz w:val="22"/>
        </w:rPr>
        <w:t>Unacceptable subject matter includes personal development, human relations, collective bargaining, and tours. A licensee may elect to take the Praxis Examination in speech pathology or audiology in lieu of earning continuing education credits. The licensee will have the results of the examination sent to the board by the agency administering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may present professional programs that meet the criteria in this rule. Two hours of credit will be allowed for each hour of newly developed presentation material. A maximum of 16 hours may be obtained per biennium. A course schedule or brochure must be maintained for audit.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combined total of six hours per biennium may be used for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Government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CPR, child abuse and dependent adult abuse;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maximum of two hours may be used for business-related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will provide official transcripts indicating successful completion of academic courses that apply to the field of speech pathology and audiology in order to receive the following continuing education credits:</w:t>
      </w:r>
    </w:p>
    <w:p>
      <w:pPr>
        <w:spacing w:before="0" w:after="0"/>
        <w:ind w:left="120"/>
        <w:jc w:val="both"/>
      </w:pPr>
      <w:r>
        <w:rPr>
          <w:rFonts w:ascii="Times New Roman" w:hAnsi="Times New Roman"/>
          <w:b w:val="false"/>
          <w:i w:val="false"/>
          <w:color w:val="000000"/>
          <w:sz w:val="22"/>
        </w:rPr>
        <w:t>1 academic semester hour = 15 continuing education hours of credit</w:t>
      </w:r>
    </w:p>
    <w:p>
      <w:pPr>
        <w:spacing w:before="0" w:after="0"/>
        <w:ind w:left="120"/>
        <w:jc w:val="both"/>
      </w:pPr>
      <w:r>
        <w:rPr>
          <w:rFonts w:ascii="Times New Roman" w:hAnsi="Times New Roman"/>
          <w:b w:val="false"/>
          <w:i w:val="false"/>
          <w:color w:val="000000"/>
          <w:sz w:val="22"/>
        </w:rPr>
        <w:t>1 academic trimester hour = 12 continuing education hours of credit</w:t>
      </w:r>
    </w:p>
    <w:p>
      <w:pPr>
        <w:spacing w:before="0" w:after="0"/>
        <w:ind w:left="120"/>
        <w:jc w:val="both"/>
      </w:pPr>
      <w:r>
        <w:rPr>
          <w:rFonts w:ascii="Times New Roman" w:hAnsi="Times New Roman"/>
          <w:b w:val="false"/>
          <w:i w:val="false"/>
          <w:color w:val="000000"/>
          <w:sz w:val="22"/>
        </w:rPr>
        <w:t>1 academic quarter hour = 10 continuing education hours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Continuing education credit may be earned by participation in continuing education programs and activities that meet the criteria in this rule and that are completed through journal readings, teleconference or videoconference participation, and online program participation. In addition, such programs and activities must include a posttest that the participant must pass in order to receive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Continuing education will be obtained by attending a program that meets the criteria in </w:t>
      </w:r>
      <w:hyperlink r:id="rId6">
        <w:r>
          <w:rPr>
            <w:rStyle w:val="Hyperlink"/>
            <w:rFonts w:ascii="Times New Roman" w:hAnsi="Times New Roman"/>
            <w:b w:val="false"/>
            <w:i w:val="false"/>
            <w:color w:val="000000"/>
            <w:sz w:val="22"/>
          </w:rPr>
          <w:t>subrule 742.3(1)</w:t>
        </w:r>
      </w:hyperlink>
      <w:r>
        <w:rPr>
          <w:rFonts w:ascii="Times New Roman" w:hAnsi="Times New Roman"/>
          <w:b w:val="false"/>
          <w:i w:val="false"/>
          <w:color w:val="000000"/>
          <w:sz w:val="22"/>
        </w:rPr>
        <w:t xml:space="preserve"> including but not limited to continuing education programs offered by AAA and ASHA. Other individuals or groups may offer continuing education programs that meet the criteria in rule </w:t>
      </w:r>
      <w:hyperlink r:id="rId7">
        <w:r>
          <w:rPr>
            <w:rStyle w:val="Hyperlink"/>
            <w:rFonts w:ascii="Times New Roman" w:hAnsi="Times New Roman"/>
            <w:b w:val="false"/>
            <w:i w:val="false"/>
            <w:color w:val="000000"/>
            <w:sz w:val="22"/>
          </w:rPr>
          <w:t>481—742.3</w:t>
        </w:r>
      </w:hyperlink>
      <w:r>
        <w:rPr>
          <w:rFonts w:ascii="Times New Roman" w:hAnsi="Times New Roman"/>
          <w:b w:val="false"/>
          <w:i w:val="false"/>
          <w:color w:val="000000"/>
          <w:sz w:val="22"/>
        </w:rPr>
        <w:t>(147,272C) through one of the following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National, state or local associations of speech pathology and audiology;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Schools and institutes of speech pathology and audiology;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Universities, colleges or community colleges.</w:t>
      </w:r>
    </w:p>
    <w:p>
      <w:pPr>
        <w:spacing w:before="0" w:after="0"/>
        <w:ind w:left="120"/>
        <w:jc w:val="both"/>
      </w:pPr>
      <w:r>
        <w:rPr>
          <w:rFonts w:ascii="Times New Roman" w:hAnsi="Times New Roman"/>
          <w:b w:val="false"/>
          <w:i w:val="false"/>
          <w:color w:val="000000"/>
          <w:sz w:val="22"/>
        </w:rPr>
        <w:t>Continuing education must be offered by or approved in advance of delivery by the organizations stated above.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11/9/00, Notice 9/20/00—published 11/29/00, effective 1/3/01]</w:t>
      </w:r>
    </w:p>
    <w:p>
      <w:pPr>
        <w:spacing w:before="0" w:after="0"/>
        <w:ind w:left="120"/>
        <w:jc w:val="center"/>
      </w:pPr>
      <w:r>
        <w:rPr>
          <w:rFonts w:ascii="Times New Roman" w:hAnsi="Times New Roman"/>
          <w:b w:val="false"/>
          <w:i w:val="false"/>
          <w:color w:val="000000"/>
          <w:sz w:val="21"/>
        </w:rPr>
        <w:t>[Filed 8/30/01, Notice 5/30/01—published 9/19/01, effective 10/24/01]</w:t>
      </w:r>
    </w:p>
    <w:p>
      <w:pPr>
        <w:spacing w:before="0" w:after="0"/>
        <w:ind w:left="120"/>
        <w:jc w:val="center"/>
      </w:pPr>
      <w:r>
        <w:rPr>
          <w:rFonts w:ascii="Times New Roman" w:hAnsi="Times New Roman"/>
          <w:b w:val="false"/>
          <w:i w:val="false"/>
          <w:color w:val="000000"/>
          <w:sz w:val="21"/>
        </w:rPr>
        <w:t>[Filed 5/9/02, Notice 4/3/02—published 5/29/02, effective 7/3/02]</w:t>
      </w:r>
    </w:p>
    <w:p>
      <w:pPr>
        <w:spacing w:before="0" w:after="0"/>
        <w:ind w:left="120"/>
        <w:jc w:val="center"/>
      </w:pPr>
      <w:r>
        <w:rPr>
          <w:rFonts w:ascii="Times New Roman" w:hAnsi="Times New Roman"/>
          <w:b w:val="false"/>
          <w:i w:val="false"/>
          <w:color w:val="000000"/>
          <w:sz w:val="21"/>
        </w:rPr>
        <w:t>[Filed 8/14/03, Notice 5/28/03—published 9/3/03, effective 10/8/03]</w:t>
      </w:r>
    </w:p>
    <w:p>
      <w:pPr>
        <w:spacing w:before="0" w:after="0"/>
        <w:ind w:left="120"/>
        <w:jc w:val="center"/>
      </w:pPr>
      <w:r>
        <w:rPr>
          <w:rFonts w:ascii="Times New Roman" w:hAnsi="Times New Roman"/>
          <w:b w:val="false"/>
          <w:i w:val="false"/>
          <w:color w:val="000000"/>
          <w:sz w:val="21"/>
        </w:rPr>
        <w:t>[Filed 8/22/05, Notice 6/8/05—published 9/14/05, effective 10/19/05]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12/22/08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8872B</w:t>
      </w:r>
      <w:r>
        <w:rPr>
          <w:rFonts w:ascii="Times New Roman" w:hAnsi="Times New Roman"/>
          <w:b w:val="false"/>
          <w:i w:val="false"/>
          <w:color w:val="000000"/>
          <w:sz w:val="21"/>
        </w:rPr>
        <w:t xml:space="preserve"> (Notice ARC 8639B, IAB 4/7/10)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1397C</w:t>
      </w:r>
      <w:r>
        <w:rPr>
          <w:rFonts w:ascii="Times New Roman" w:hAnsi="Times New Roman"/>
          <w:b w:val="false"/>
          <w:i w:val="false"/>
          <w:color w:val="000000"/>
          <w:sz w:val="21"/>
        </w:rPr>
        <w:t xml:space="preserve"> (Notice ARC 1314C, IAB 2/5/14)</w:t>
      </w:r>
      <w:r>
        <w:rPr>
          <w:rFonts w:ascii="Times New Roman" w:hAnsi="Times New Roman"/>
          <w:b w:val="false"/>
          <w:i w:val="false"/>
          <w:color w:val="000000"/>
          <w:sz w:val="21"/>
        </w:rPr>
        <w:t>, IAB 4/2/14, effective 5/7/14]</w:t>
      </w:r>
    </w:p>
    <w:p>
      <w:pPr>
        <w:spacing w:before="0" w:after="0"/>
        <w:ind w:left="120"/>
        <w:jc w:val="center"/>
      </w:pPr>
      <w:r>
        <w:rPr>
          <w:rFonts w:ascii="Times New Roman" w:hAnsi="Times New Roman"/>
          <w:b w:val="false"/>
          <w:i w:val="false"/>
          <w:color w:val="000000"/>
          <w:sz w:val="21"/>
        </w:rPr>
        <w:t>[Filed ARC 3591C</w:t>
      </w:r>
      <w:r>
        <w:rPr>
          <w:rFonts w:ascii="Times New Roman" w:hAnsi="Times New Roman"/>
          <w:b w:val="false"/>
          <w:i w:val="false"/>
          <w:color w:val="000000"/>
          <w:sz w:val="21"/>
        </w:rPr>
        <w:t xml:space="preserve"> (Notice ARC 3410C, IAB 10/25/17)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5268C</w:t>
      </w:r>
      <w:r>
        <w:rPr>
          <w:rFonts w:ascii="Times New Roman" w:hAnsi="Times New Roman"/>
          <w:b w:val="false"/>
          <w:i w:val="false"/>
          <w:color w:val="000000"/>
          <w:sz w:val="21"/>
        </w:rPr>
        <w:t xml:space="preserve"> (Notice ARC 5163C, IAB 9/9/20)</w:t>
      </w:r>
      <w:r>
        <w:rPr>
          <w:rFonts w:ascii="Times New Roman" w:hAnsi="Times New Roman"/>
          <w:b w:val="false"/>
          <w:i w:val="false"/>
          <w:color w:val="000000"/>
          <w:sz w:val="21"/>
        </w:rPr>
        <w:t>, IAB 11/4/20, effective 12/9/20]</w:t>
      </w:r>
    </w:p>
    <w:p>
      <w:pPr>
        <w:spacing w:before="0" w:after="0"/>
        <w:ind w:left="120"/>
        <w:jc w:val="center"/>
      </w:pPr>
      <w:r>
        <w:rPr>
          <w:rFonts w:ascii="Times New Roman" w:hAnsi="Times New Roman"/>
          <w:b w:val="false"/>
          <w:i w:val="false"/>
          <w:color w:val="000000"/>
          <w:sz w:val="21"/>
        </w:rPr>
        <w:t>[Filed ARC 7827C</w:t>
      </w:r>
      <w:r>
        <w:rPr>
          <w:rFonts w:ascii="Times New Roman" w:hAnsi="Times New Roman"/>
          <w:b w:val="false"/>
          <w:i w:val="false"/>
          <w:color w:val="000000"/>
          <w:sz w:val="21"/>
        </w:rPr>
        <w:t xml:space="preserve"> (Notice ARC 7470C,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742.1.pdf" Type="http://schemas.openxmlformats.org/officeDocument/2006/relationships/hyperlink" Id="rId4"/>
    <Relationship TargetMode="External" Target="https://www.legis.iowa.gov/docs/iac/rule/481.742.1.pdf" Type="http://schemas.openxmlformats.org/officeDocument/2006/relationships/hyperlink" Id="rId5"/>
    <Relationship TargetMode="External" Target="https://www.legis.iowa.gov/docs/iac/rule/645.303.3.pdf" Type="http://schemas.openxmlformats.org/officeDocument/2006/relationships/hyperlink" Id="rId6"/>
    <Relationship TargetMode="External" Target="https://www.legis.iowa.gov/docs/iac/rule/481.742.3.pdf" Type="http://schemas.openxmlformats.org/officeDocument/2006/relationships/hyperlink" Id="rId7"/>
    <Relationship TargetMode="External" Target="https://www.legis.iowa.gov/docs/ico/chapter/272C.pdf" Type="http://schemas.openxmlformats.org/officeDocument/2006/relationships/hyperlink" Id="rId8"/>
    <Relationship TargetMode="External" Target="https://www.legis.iowa.gov/docs/ico/chapter/147.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