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506</w:t>
      </w:r>
    </w:p>
    <w:p>
      <w:pPr>
        <w:spacing w:before="0" w:after="0"/>
        <w:ind w:left="120"/>
        <w:jc w:val="center"/>
      </w:pPr>
      <w:r>
        <w:rPr>
          <w:rFonts w:ascii="Times New Roman" w:hAnsi="Times New Roman"/>
          <w:b w:val="false"/>
          <w:i w:val="false"/>
          <w:color w:val="000000"/>
          <w:sz w:val="21"/>
        </w:rPr>
        <w:t>MODEL RULES FOR CONTESTED CASES BEFORE LICENSING BOARDS AND INFORMAL SETTLEMENTS</w:t>
      </w:r>
    </w:p>
    <w:p>
      <w:pPr>
        <w:spacing w:before="0" w:after="0"/>
        <w:ind w:left="120"/>
        <w:jc w:val="center"/>
      </w:pPr>
      <w:r>
        <w:rPr>
          <w:rFonts w:ascii="Times New Roman" w:hAnsi="Times New Roman"/>
          <w:b w:val="false"/>
          <w:i w:val="false"/>
          <w:color w:val="000000"/>
          <w:sz w:val="14"/>
        </w:rPr>
        <w:t>[Prior to 9/18/24, see Professional Licensure Division[645] Ch 11]</w:t>
      </w:r>
    </w:p>
    <w:p>
      <w:pPr>
        <w:spacing w:before="0" w:after="0"/>
        <w:ind w:left="120"/>
        <w:jc w:val="both"/>
      </w:pPr>
      <w:r>
        <w:rPr>
          <w:rFonts w:ascii="Times New Roman" w:hAnsi="Times New Roman"/>
          <w:b/>
          <w:i w:val="false"/>
          <w:color w:val="000000"/>
          <w:sz w:val="22"/>
        </w:rPr>
        <w:t>481—506.1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board of __________________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color w:val="000000"/>
          <w:sz w:val="22"/>
        </w:rPr>
        <w:t>“Contested case”</w:t>
      </w:r>
      <w:r>
        <w:rPr>
          <w:rFonts w:ascii="Times New Roman" w:hAnsi="Times New Roman"/>
          <w:b w:val="false"/>
          <w:i w:val="false"/>
          <w:color w:val="000000"/>
          <w:sz w:val="22"/>
        </w:rPr>
        <w:t xml:space="preserve"> means a proceeding defined by Iowa Code section </w:t>
      </w:r>
      <w:hyperlink r:id="rId4">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5">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“Issuance”</w:t>
      </w:r>
      <w:r>
        <w:rPr>
          <w:rFonts w:ascii="Times New Roman" w:hAnsi="Times New Roman"/>
          <w:b w:val="false"/>
          <w:i w:val="false"/>
          <w:color w:val="000000"/>
          <w:sz w:val="22"/>
        </w:rPr>
        <w:t xml:space="preserve"> 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color w:val="000000"/>
          <w:sz w:val="22"/>
        </w:rPr>
        <w:t>“Party”</w:t>
      </w:r>
      <w:r>
        <w:rPr>
          <w:rFonts w:ascii="Times New Roman" w:hAnsi="Times New Roman"/>
          <w:b w:val="false"/>
          <w:i w:val="false"/>
          <w:color w:val="000000"/>
          <w:sz w:val="22"/>
        </w:rPr>
        <w:t xml:space="preserve"> means the state of Iowa as represented by the assistant attorney general assigned to prosecute the case on behalf of the public interest, the respondent, or an intervenor.</w:t>
      </w:r>
    </w:p>
    <w:p>
      <w:pPr>
        <w:spacing w:before="0" w:after="0"/>
        <w:ind w:left="120"/>
        <w:jc w:val="both"/>
      </w:pPr>
      <w:r>
        <w:rPr>
          <w:rFonts w:ascii="Times New Roman" w:hAnsi="Times New Roman"/>
          <w:b w:val="false"/>
          <w:i/>
          <w:color w:val="000000"/>
          <w:sz w:val="22"/>
        </w:rPr>
        <w:t>“Presiding officer”</w:t>
      </w:r>
      <w:r>
        <w:rPr>
          <w:rFonts w:ascii="Times New Roman" w:hAnsi="Times New Roman"/>
          <w:b w:val="false"/>
          <w:i w:val="false"/>
          <w:color w:val="000000"/>
          <w:sz w:val="22"/>
        </w:rPr>
        <w:t xml:space="preserve"> means the board of __________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6">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481—506.4</w:t>
      </w:r>
      <w:r>
        <w:rPr>
          <w:rFonts w:ascii="Times New Roman" w:hAnsi="Times New Roman"/>
          <w:b/>
          <w:i w:val="false"/>
          <w:color w:val="000000"/>
          <w:sz w:val="22"/>
        </w:rPr>
        <w:t xml:space="preserve">(17A) </w:t>
      </w:r>
      <w:r>
        <w:rPr>
          <w:rFonts w:ascii="Times New Roman" w:hAnsi="Times New Roman"/>
          <w:b/>
          <w:i w:val="false"/>
          <w:color w:val="000000"/>
          <w:sz w:val="22"/>
        </w:rPr>
        <w:t xml:space="preserve">Probable cause. </w:t>
      </w:r>
      <w:r>
        <w:rPr>
          <w:rFonts w:ascii="Times New Roman" w:hAnsi="Times New Roman"/>
          <w:b w:val="false"/>
          <w:i w:val="false"/>
          <w:color w:val="000000"/>
          <w:sz w:val="22"/>
        </w:rPr>
        <w:t>If the board finds there is probable cause for taking disciplinary action against a licensee following investigation, the board will order that a contested case hearing be commenced by the filing of a statement of charges and notice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481—506.5</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and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506.5(1)</w:t>
      </w:r>
      <w:r>
        <w:rPr>
          <w:rFonts w:ascii="Times New Roman" w:hAnsi="Times New Roman"/>
          <w:b w:val="false"/>
          <w:i w:val="false"/>
          <w:color w:val="000000"/>
          <w:sz w:val="22"/>
        </w:rPr>
        <w:t> </w:t>
      </w:r>
      <w:r>
        <w:rPr>
          <w:rFonts w:ascii="Times New Roman" w:hAnsi="Times New Roman"/>
          <w:b w:val="false"/>
          <w:i/>
          <w:color w:val="000000"/>
          <w:sz w:val="22"/>
        </w:rPr>
        <w:t xml:space="preserve">Legal review. </w:t>
      </w:r>
      <w:r>
        <w:rPr>
          <w:rFonts w:ascii="Times New Roman" w:hAnsi="Times New Roman"/>
          <w:b w:val="false"/>
          <w:i w:val="false"/>
          <w:color w:val="000000"/>
          <w:sz w:val="22"/>
        </w:rPr>
        <w:t>Every statement of charges and notice of hearing prepared by the board will be reviewed by the office of the attorney general prior to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506.5(2)</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statement of charges and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by the board showing that there is probable cause to file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containing sufficient detail to give the respondent fair notice of the allegations so that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assistant attorney general designated as prosecutor for the state and the parties’ counsel,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board as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when applicable, and pursuant to Iowa Code section </w:t>
      </w:r>
      <w:hyperlink r:id="rId7">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rules </w:t>
      </w:r>
      <w:hyperlink r:id="rId8">
        <w:r>
          <w:rPr>
            <w:rStyle w:val="Hyperlink"/>
            <w:rFonts w:ascii="Times New Roman" w:hAnsi="Times New Roman"/>
            <w:b w:val="false"/>
            <w:i w:val="false"/>
            <w:color w:val="000000"/>
            <w:sz w:val="22"/>
          </w:rPr>
          <w:t>481—506.8</w:t>
        </w:r>
      </w:hyperlink>
      <w:r>
        <w:rPr>
          <w:rFonts w:ascii="Times New Roman" w:hAnsi="Times New Roman"/>
          <w:b w:val="false"/>
          <w:i w:val="false"/>
          <w:color w:val="000000"/>
          <w:sz w:val="22"/>
        </w:rPr>
        <w:t xml:space="preserve">(17A,272C) and </w:t>
      </w:r>
      <w:hyperlink r:id="rId9">
        <w:r>
          <w:rPr>
            <w:rStyle w:val="Hyperlink"/>
            <w:rFonts w:ascii="Times New Roman" w:hAnsi="Times New Roman"/>
            <w:b w:val="false"/>
            <w:i w:val="false"/>
            <w:color w:val="000000"/>
            <w:sz w:val="22"/>
          </w:rPr>
          <w:t>481—506.9</w:t>
        </w:r>
      </w:hyperlink>
      <w:r>
        <w:rPr>
          <w:rFonts w:ascii="Times New Roman" w:hAnsi="Times New Roman"/>
          <w:b w:val="false"/>
          <w:i w:val="false"/>
          <w:color w:val="000000"/>
          <w:sz w:val="22"/>
        </w:rPr>
        <w:t>(17A,272C),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481—506.6</w:t>
      </w:r>
      <w:r>
        <w:rPr>
          <w:rFonts w:ascii="Times New Roman" w:hAnsi="Times New Roman"/>
          <w:b/>
          <w:i w:val="false"/>
          <w:color w:val="000000"/>
          <w:sz w:val="22"/>
        </w:rPr>
        <w:t xml:space="preserve">(17A,272C)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the statement of charges and notice of hearing, the office of the attorney general will be responsible for the legal representation of the public interest in all proceedings before the board. The assistant attorney general assigned to prosecute a contested case before the board will not represent the board in that case but will represent the public interest. All other parties to a proceeding before the board will be entitled to have counsel at their own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481—506.7</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will be the board. The board may request that an administrative law judge assist the board with initial rulings on prehearing matters. Decisions of the administrative law judge serving in this capacity are subject to the interlocutory appeal provisions of rule </w:t>
      </w:r>
      <w:hyperlink r:id="rId10">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 An administrative law judge may assist and advise the board at the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481—506.8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481—506.9</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506.9(1)</w:t>
      </w:r>
      <w:r>
        <w:rPr>
          <w:rFonts w:ascii="Times New Roman" w:hAnsi="Times New Roman"/>
          <w:b w:val="false"/>
          <w:i w:val="false"/>
          <w:color w:val="000000"/>
          <w:sz w:val="22"/>
        </w:rPr>
        <w:t>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appeals, and licensing must file a written request within 20 days after service of a notice of hearing that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r>
        <w:rPr>
          <w:rFonts w:ascii="Times New Roman" w:hAnsi="Times New Roman"/>
          <w:b w:val="false"/>
          <w:i w:val="false"/>
          <w:color w:val="000000"/>
          <w:sz w:val="22"/>
        </w:rPr>
        <w:t>506.9(4)</w:t>
      </w:r>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issue a written ruling specifying the grounds for its decision within 20 days after a request for an administrative law judge is filed. If the ruling is contingent upon the availability of an administrative law judge with the qualifications identified in subrule </w:t>
      </w:r>
      <w:r>
        <w:rPr>
          <w:rFonts w:ascii="Times New Roman" w:hAnsi="Times New Roman"/>
          <w:b w:val="false"/>
          <w:i w:val="false"/>
          <w:color w:val="000000"/>
          <w:sz w:val="22"/>
        </w:rPr>
        <w:t>506.9(4)</w:t>
      </w:r>
      <w:r>
        <w:rPr>
          <w:rFonts w:ascii="Times New Roman" w:hAnsi="Times New Roman"/>
          <w:b w:val="false"/>
          <w:i w:val="false"/>
          <w:color w:val="000000"/>
          <w:sz w:val="22"/>
        </w:rPr>
        <w:t>,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nondisciplinary contested case shall have a J.D. degree unless waived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in a nondisciplinary contested case are subject to appeal to the board. A party must seek appeal to the board in order to exhaust adequate administrative remedies. Such appeals must be filed within ten days of the date of the issuance of the challenged ruling,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an administrative law judge in a nondisciplinary contested case upon appeal, the board will have the powers of and will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spouse or relative within the third degree of relationship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that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agency functions, including fact gathering for purposes other than investigation of the matter that culminates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506.10(3)</w:t>
      </w:r>
      <w:r>
        <w:rPr>
          <w:rFonts w:ascii="Times New Roman" w:hAnsi="Times New Roman"/>
          <w:b w:val="false"/>
          <w:i w:val="false"/>
          <w:color w:val="000000"/>
          <w:sz w:val="22"/>
        </w:rPr>
        <w:t> </w:t>
      </w:r>
      <w:r>
        <w:rPr>
          <w:rFonts w:ascii="Times New Roman" w:hAnsi="Times New Roman"/>
          <w:b w:val="false"/>
          <w:i w:val="false"/>
          <w:color w:val="000000"/>
          <w:sz w:val="22"/>
        </w:rPr>
        <w:t xml:space="preserve">Factual information relevant to the merits of a contested case received by a person who later serves as presiding officer in that case will be disclosed if required by Iowa Code section </w:t>
      </w:r>
      <w:hyperlink r:id="rId11">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r>
        <w:rPr>
          <w:rFonts w:ascii="Times New Roman" w:hAnsi="Times New Roman"/>
          <w:b w:val="false"/>
          <w:i w:val="false"/>
          <w:color w:val="000000"/>
          <w:sz w:val="22"/>
        </w:rPr>
        <w:t>506.10(3)</w:t>
      </w:r>
      <w:r>
        <w:rPr>
          <w:rFonts w:ascii="Times New Roman" w:hAnsi="Times New Roman"/>
          <w:b w:val="false"/>
          <w:i w:val="false"/>
          <w:color w:val="000000"/>
          <w:sz w:val="22"/>
        </w:rPr>
        <w:t xml:space="preserve"> and </w:t>
      </w:r>
      <w:r>
        <w:rPr>
          <w:rFonts w:ascii="Times New Roman" w:hAnsi="Times New Roman"/>
          <w:b w:val="false"/>
          <w:i w:val="false"/>
          <w:color w:val="000000"/>
          <w:sz w:val="22"/>
        </w:rPr>
        <w:t>506.22(9)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506.10(4)</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will submit the relevant information for the record by affidavit including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r>
        <w:rPr>
          <w:rFonts w:ascii="Times New Roman" w:hAnsi="Times New Roman"/>
          <w:b w:val="false"/>
          <w:i w:val="false"/>
          <w:color w:val="000000"/>
          <w:sz w:val="22"/>
        </w:rPr>
        <w:t>506.10(1)</w:t>
      </w:r>
      <w:r>
        <w:rPr>
          <w:rFonts w:ascii="Times New Roman" w:hAnsi="Times New Roman"/>
          <w:b w:val="false"/>
          <w:i w:val="false"/>
          <w:color w:val="000000"/>
          <w:sz w:val="22"/>
        </w:rPr>
        <w:t xml:space="preserve">, the party will file a motion supported by an affidavit pursuant to Iowa Code section </w:t>
      </w:r>
      <w:hyperlink r:id="rId1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The board will determine the matter as part of the record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statement of charges,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will be filed within 20 days of service of the statement of charges and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on whose behalf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forth the name, address and telephone number of the person filing the answer, the person on whose behalf it is filed, and the attorney, if any, representing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Specifically admit, deny, or otherwise answer all material allegations of the statement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 forth any facts deemed necessary to show an affirmative defense and contain as many additional defenses as the respondent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Otherwise, a party may amend a pleading only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will be served upon each of the parties of record to the proceeding, including the person designated as prosecutor for the state, simultaneously with its filing. Except for the original statement of charges and notice of hearing and an application for rehearing as provided in Iowa Code section </w:t>
      </w:r>
      <w:hyperlink r:id="rId13">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will be filed with the board. All documents that are required to be served upon a party will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Iowa Department of Inspections, Appeals, and Licensing, 6200 Park Avenue, Suite 100, Des Moines, Iowa 50321-1270;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______ Board,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by order of the presiding officer, or by agreement of the parties, time periods for compliance with discovery will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will allege that the moving party has previously made a good-faith attempt to resolve the discovery issues involved with the opposing party. Motions in regard to discovery will be ruled upon by the presiding officer. Opposing parties will be afforded the opportunity to respond within ten days of the filing of the motion unless the time is shortened as provided in </w:t>
      </w:r>
      <w:hyperlink r:id="rId14">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506.14(1)</w:t>
      </w:r>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a deposition or hearing, and may compel the production of books, papers, records, and other real evidence. A command to produce evidence or to permit inspection may be joined with a command to appear at a deposition or hearing, or may be issued separately. Subpoenas shall be issued by the board administrator or designee upon written request. A request for a subpoena of mental health records must confirm the conditions described in </w:t>
      </w:r>
      <w:hyperlink r:id="rId15">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will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16">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board administrator or designee will mail the subpoena to the requesting party, with a copy to the opposing party.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describing the legal reasons why the subpoena should be quashed or modified, and the motion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administrator,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the board’s decision is final for purposes of judicial review. If the person contesting the subpoena is a party to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506.16(1)</w:t>
      </w:r>
      <w:r>
        <w:rPr>
          <w:rFonts w:ascii="Times New Roman" w:hAnsi="Times New Roman"/>
          <w:b w:val="false"/>
          <w:i w:val="false"/>
          <w:color w:val="000000"/>
          <w:sz w:val="22"/>
        </w:rPr>
        <w:t> </w:t>
      </w:r>
      <w:r>
        <w:rPr>
          <w:rFonts w:ascii="Times New Roman" w:hAnsi="Times New Roman"/>
          <w:b w:val="false"/>
          <w:i w:val="false"/>
          <w:color w:val="000000"/>
          <w:sz w:val="22"/>
        </w:rPr>
        <w:t>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will be conducted by the board administrator, who may request the assistance of an administrative law judge. A written request for prehearing conference or an order for prehearing conference on the board administrator’s own motion will be filed prior to the contested case hearing, but no later than 20 days prior to the hearing date. Written notice of the prehearing conference will be given by the board administrator to all parties. For good cause the board administrator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will be prepared to discuss the following subjects, and the board administrator or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board administrator or administrative law judge at the prehearing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board administrator or administrative law judge at the prehearing conference. Exhibits other than rebuttal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for waiver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506.18(1)</w:t>
      </w:r>
      <w:r>
        <w:rPr>
          <w:rFonts w:ascii="Times New Roman" w:hAnsi="Times New Roman"/>
          <w:b w:val="false"/>
          <w:i w:val="false"/>
          <w:color w:val="000000"/>
          <w:sz w:val="22"/>
        </w:rPr>
        <w:t> </w:t>
      </w:r>
      <w:r>
        <w:rPr>
          <w:rFonts w:ascii="Times New Roman" w:hAnsi="Times New Roman"/>
          <w:b w:val="false"/>
          <w:i w:val="false"/>
          <w:color w:val="000000"/>
          <w:sz w:val="22"/>
        </w:rPr>
        <w:t>Applications for continuances will be filed with the board. If the application for continuance is not contested, the board administrator will issue the appropriate order. If the application for continuance is contested, the matter will be heard by the board or may be delegated by the board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506.18(2)</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five working days before the hearing. Within five working days of the date set for hearing, no continuances shall be granted except for extraordinary, extenuating, or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documentation of any grounds for continuance. 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have the authority to administer oaths, to admit or exclude testimony or other evidence, and to rule on all motions and objections. The presiding officer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506.19(2)</w:t>
      </w:r>
      <w:r>
        <w:rPr>
          <w:rFonts w:ascii="Times New Roman" w:hAnsi="Times New Roman"/>
          <w:b w:val="false"/>
          <w:i w:val="false"/>
          <w:color w:val="000000"/>
          <w:sz w:val="22"/>
        </w:rPr>
        <w:t> </w:t>
      </w:r>
      <w:r>
        <w:rPr>
          <w:rFonts w:ascii="Times New Roman" w:hAnsi="Times New Roman"/>
          <w:b w:val="false"/>
          <w:i w:val="false"/>
          <w:color w:val="000000"/>
          <w:sz w:val="22"/>
        </w:rPr>
        <w:t>All objections will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will have authority to grant immunity from disciplinary action to a witness as provided by Iowa Code section </w:t>
      </w:r>
      <w:hyperlink r:id="rId1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506.19(9)</w:t>
      </w:r>
      <w:r>
        <w:rPr>
          <w:rFonts w:ascii="Times New Roman" w:hAnsi="Times New Roman"/>
          <w:b w:val="false"/>
          <w:i w:val="false"/>
          <w:color w:val="000000"/>
          <w:sz w:val="22"/>
        </w:rPr>
        <w:t> </w:t>
      </w:r>
      <w:r>
        <w:rPr>
          <w:rFonts w:ascii="Times New Roman" w:hAnsi="Times New Roman"/>
          <w:b w:val="false"/>
          <w:i w:val="false"/>
          <w:color w:val="000000"/>
          <w:sz w:val="22"/>
        </w:rPr>
        <w:t>The board members and the administrative law judge have the right to question a witness. Examination of witnesses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506.19(10)</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unless the licensee requests that the hearing be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as to which the parties received notice prior to the hearing unless a party waives the party’s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will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consists of a document or exhibit, it will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506.21(3)</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The burden of proof as to good cause is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18">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19">
        <w:r>
          <w:rPr>
            <w:rStyle w:val="Hyperlink"/>
            <w:rFonts w:ascii="Times New Roman" w:hAnsi="Times New Roman"/>
            <w:b w:val="false"/>
            <w:i w:val="false"/>
            <w:color w:val="000000"/>
            <w:sz w:val="22"/>
          </w:rPr>
          <w:t>481—506.26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statement of charges and notice of hearing, there will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statement of charges and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will be provided in compliance with rule </w:t>
      </w:r>
      <w:hyperlink r:id="rId20">
        <w:r>
          <w:rPr>
            <w:rStyle w:val="Hyperlink"/>
            <w:rFonts w:ascii="Times New Roman" w:hAnsi="Times New Roman"/>
            <w:b w:val="false"/>
            <w:i w:val="false"/>
            <w:color w:val="000000"/>
            <w:sz w:val="22"/>
          </w:rPr>
          <w:t>481—506.6</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506.22(6)</w:t>
      </w:r>
      <w:r>
        <w:rPr>
          <w:rFonts w:ascii="Times New Roman" w:hAnsi="Times New Roman"/>
          <w:b w:val="false"/>
          <w:i w:val="false"/>
          <w:color w:val="000000"/>
          <w:sz w:val="22"/>
        </w:rPr>
        <w:t> </w:t>
      </w:r>
      <w:r>
        <w:rPr>
          <w:rFonts w:ascii="Times New Roman" w:hAnsi="Times New Roman"/>
          <w:b w:val="false"/>
          <w:i w:val="false"/>
          <w:color w:val="000000"/>
          <w:sz w:val="22"/>
        </w:rPr>
        <w:t>The board administrator or other persons may be present in deliberations or otherwise advise the presiding officer without notice or opportunity for parties to participate as long as they are not disqualified from participating in the making of a final decision under any provision of law and they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will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506.22(8)</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will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will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1">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agency. Violation of ex parte communication prohibitions by board personnel will be reported to the board and its board administrator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481—506.23</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or any portion of the record at cost. The cost of preparing a copy of the record or of transcribing the hearing record will be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board administrator or an administrative law judge. Any request for interlocutory review must be filed within 14 days of issuance of the challenged order, but no later than the time for compliance with the order or the date of hearing, whichever is first. In determining whether to review an interlocutory order, the board will consider: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its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481—506.25</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party to a contested case proceeding may file an application for rehearing from a final order. The filing of an application for rehearing is not necessary to exhaust administrative remedies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will state on whose behalf it is filed, the specific grounds for rehearing, and the relief sought. In addition, the application shall state whether the applicant desires reconsideration of all or part of the agency decision on the existing record and whether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506.25(3)</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A party may request the taking of additional evidence only by establishing that (a) the facts or other evidence arose after the original proceeding, or (b) the party offering such evidence could not reasonably have provided such evidence at the original proceedings, or (c) the party offering the additional evidence was misled by any party as to the necessity for offering such evidence at the original proceeding. A written request to present additional evidence must be filed with the application for rehearing or by a nonappealing party within 14 days of service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506.25(4)</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The application will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506.25(5)</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will be deemed denied unless the agency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506.25(7)</w:t>
      </w:r>
      <w:r>
        <w:rPr>
          <w:rFonts w:ascii="Times New Roman" w:hAnsi="Times New Roman"/>
          <w:b w:val="false"/>
          <w:i w:val="false"/>
          <w:color w:val="000000"/>
          <w:sz w:val="22"/>
        </w:rPr>
        <w:t> </w:t>
      </w:r>
      <w:r>
        <w:rPr>
          <w:rFonts w:ascii="Times New Roman" w:hAnsi="Times New Roman"/>
          <w:b w:val="false"/>
          <w:i/>
          <w:color w:val="000000"/>
          <w:sz w:val="22"/>
        </w:rPr>
        <w:t xml:space="preserve">Only remedy.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506.25(8)</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481—506.26</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board will consider the factors listed in Iowa Code section </w:t>
      </w:r>
      <w:hyperlink r:id="rId22">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481—506.27</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481—506.28</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23">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506.28(2)</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506.28(3)</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board’s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506.28(4)</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board will make reasonable immediate efforts to contact by telephone the person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506.28(5)</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will include notification of the date on which board proceedings are scheduled for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issuance of an emergency adjudicative order, continuance of further board proceedings to a later date will be granted only in compelling circumstances upon application in writing unless the person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Any appeal to district court from a decision in a contested case will be taken within 30 days from the date of issuance of the decision by the board pursuant to Iowa Code section </w:t>
      </w:r>
      <w:hyperlink r:id="rId2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481—506.30</w:t>
      </w:r>
      <w:r>
        <w:rPr>
          <w:rFonts w:ascii="Times New Roman" w:hAnsi="Times New Roman"/>
          <w:b/>
          <w:i w:val="false"/>
          <w:color w:val="000000"/>
          <w:sz w:val="22"/>
        </w:rPr>
        <w:t xml:space="preserve">(272C) </w:t>
      </w:r>
      <w:r>
        <w:rPr>
          <w:rFonts w:ascii="Times New Roman" w:hAnsi="Times New Roman"/>
          <w:b/>
          <w:i w:val="false"/>
          <w:color w:val="000000"/>
          <w:sz w:val="22"/>
        </w:rPr>
        <w:t xml:space="preserve">Publication of decisions. </w:t>
      </w:r>
      <w:r>
        <w:rPr>
          <w:rFonts w:ascii="Times New Roman" w:hAnsi="Times New Roman"/>
          <w:b w:val="false"/>
          <w:i w:val="false"/>
          <w:color w:val="000000"/>
          <w:sz w:val="22"/>
        </w:rPr>
        <w:t>Final decisions of the board in a contested case will be transmitted to the appropriate association, the news media, and the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481—506.31</w:t>
      </w:r>
      <w:r>
        <w:rPr>
          <w:rFonts w:ascii="Times New Roman" w:hAnsi="Times New Roman"/>
          <w:b/>
          <w:i w:val="false"/>
          <w:color w:val="000000"/>
          <w:sz w:val="22"/>
        </w:rPr>
        <w:t xml:space="preserve">(272C)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to practice has been revoked or suspended may apply to the board for reinstatement in accordance with the terms and conditions of the order of revocation or suspension, unless the order of revocation provides that the license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and conditions upon which reinstatement might occur, or if the license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506.31(3)</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license. Such application will be docketed in the original case in which the license was revoked, suspended, or relinquished.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506.31(4)</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will allege facts that, if established, will be sufficient to enable the board to determine that the basis for the revocation, suspension or voluntary surrender of the respondent’s license no longer exists and that it will be in the public interest for the license to be reinstated.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506.31(5)</w:t>
      </w:r>
      <w:r>
        <w:rPr>
          <w:rFonts w:ascii="Times New Roman" w:hAnsi="Times New Roman"/>
          <w:b w:val="false"/>
          <w:i w:val="false"/>
          <w:color w:val="000000"/>
          <w:sz w:val="22"/>
        </w:rPr>
        <w:t> </w:t>
      </w:r>
      <w:r>
        <w:rPr>
          <w:rFonts w:ascii="Times New Roman" w:hAnsi="Times New Roman"/>
          <w:b w:val="false"/>
          <w:i w:val="false"/>
          <w:color w:val="000000"/>
          <w:sz w:val="22"/>
        </w:rPr>
        <w:t>An order of reinstatement will be based upon a decision that incorporates findings of facts and conclusions of law. The order will be published as provided for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481—506.32</w:t>
      </w:r>
      <w:r>
        <w:rPr>
          <w:rFonts w:ascii="Times New Roman" w:hAnsi="Times New Roman"/>
          <w:b/>
          <w:i w:val="false"/>
          <w:color w:val="000000"/>
          <w:sz w:val="22"/>
        </w:rPr>
        <w:t xml:space="preserve">(17A,272C)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denied licensure by the board may appeal the denial and request a hearing on the issues related to the licensure denial by serving a notice of appeal and request for hearing upon the board not more than 30 days following the date of mailing of the notification of licensure denial to the applicant. The request for hearing will specifically delineate the facts to be contested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506.32(2)</w:t>
      </w:r>
      <w:r>
        <w:rPr>
          <w:rFonts w:ascii="Times New Roman" w:hAnsi="Times New Roman"/>
          <w:b w:val="false"/>
          <w:i w:val="false"/>
          <w:color w:val="000000"/>
          <w:sz w:val="22"/>
        </w:rPr>
        <w:t> </w:t>
      </w:r>
      <w:r>
        <w:rPr>
          <w:rFonts w:ascii="Times New Roman" w:hAnsi="Times New Roman"/>
          <w:b w:val="false"/>
          <w:i w:val="false"/>
          <w:color w:val="000000"/>
          <w:sz w:val="22"/>
        </w:rPr>
        <w:t>All hearings held pursuant to this rule will be held pursuant to the process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481—506.33</w:t>
      </w:r>
      <w:r>
        <w:rPr>
          <w:rFonts w:ascii="Times New Roman" w:hAnsi="Times New Roman"/>
          <w:b/>
          <w:i w:val="false"/>
          <w:color w:val="000000"/>
          <w:sz w:val="22"/>
        </w:rPr>
        <w:t xml:space="preserve">(17A,272C) </w:t>
      </w:r>
      <w:r>
        <w:rPr>
          <w:rFonts w:ascii="Times New Roman" w:hAnsi="Times New Roman"/>
          <w:b/>
          <w:i w:val="false"/>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506.33(1)</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settlement—parties. </w:t>
      </w:r>
      <w:r>
        <w:rPr>
          <w:rFonts w:ascii="Times New Roman" w:hAnsi="Times New Roman"/>
          <w:b w:val="false"/>
          <w:i w:val="false"/>
          <w:color w:val="000000"/>
          <w:sz w:val="22"/>
        </w:rPr>
        <w:t>A contested case may be resolved by informal settlement. Negotiation of an informal settlement may be initiated by the state of Iowa represented by an assistant attorney general, the respondent, or the board. The board shall designate a board member with authority to negotiate on behalf of the board. The full board will not be involved in negotiations until the presentation of a final, written, signed informal settlement to the full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506.33(2)</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settlement—waiver of notice and opportunity to be heard. </w:t>
      </w:r>
      <w:r>
        <w:rPr>
          <w:rFonts w:ascii="Times New Roman" w:hAnsi="Times New Roman"/>
          <w:b w:val="false"/>
          <w:i w:val="false"/>
          <w:color w:val="000000"/>
          <w:sz w:val="22"/>
        </w:rPr>
        <w:t xml:space="preserve">Consent to negotiation by a respondent constitutes a waiver of notice and opportunity to be heard pursuant to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during informal settlement negotiation, and the assistant attorney general is thereafter authorized to discuss informal settlement with the board’s designee until that consent is expressly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settlement—board approval. </w:t>
      </w:r>
      <w:r>
        <w:rPr>
          <w:rFonts w:ascii="Times New Roman" w:hAnsi="Times New Roman"/>
          <w:b w:val="false"/>
          <w:i w:val="false"/>
          <w:color w:val="000000"/>
          <w:sz w:val="22"/>
        </w:rPr>
        <w:t>All informal settlements are subject to approval of a majority of the board. No informal settlement will be presented to the board for approval except in final, written form executed by the respondent. If the board fails to approve the informal settlement, it will be of no force or effect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506.33(4)</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settlement—disqualification of designee. </w:t>
      </w:r>
      <w:r>
        <w:rPr>
          <w:rFonts w:ascii="Times New Roman" w:hAnsi="Times New Roman"/>
          <w:b w:val="false"/>
          <w:i w:val="false"/>
          <w:color w:val="000000"/>
          <w:sz w:val="22"/>
        </w:rPr>
        <w:t>A board member who is designated to act in negotiation of settlement is not disqualified from participating in the contested case should the case proceed to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506.33(5)</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license if accompanied by a written statement of intention. A voluntary surrender, when accepted in connection with a disciplinary proceeding, has the same force and effect as an order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8080C</w:t>
      </w:r>
      <w:r>
        <w:rPr>
          <w:rFonts w:ascii="Times New Roman" w:hAnsi="Times New Roman"/>
          <w:b w:val="false"/>
          <w:i w:val="false"/>
          <w:color w:val="000000"/>
          <w:sz w:val="21"/>
        </w:rPr>
        <w:t xml:space="preserve"> (Notice ARC 7299C,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4.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ac/rule/481.506.8.pdf" Type="http://schemas.openxmlformats.org/officeDocument/2006/relationships/hyperlink" Id="rId8"/>
    <Relationship TargetMode="External" Target="https://www.legis.iowa.gov/docs/iac/rule/481.506.9.pdf" Type="http://schemas.openxmlformats.org/officeDocument/2006/relationships/hyperlink" Id="rId9"/>
    <Relationship TargetMode="External" Target="https://www.legis.iowa.gov/docs/iac/rule/481.506.24.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ac/rule/645.11.14.pdf" Type="http://schemas.openxmlformats.org/officeDocument/2006/relationships/hyperlink" Id="rId14"/>
    <Relationship TargetMode="External" Target="https://www.legis.iowa.gov/docs/iac/rule/481.503.5.pdf" Type="http://schemas.openxmlformats.org/officeDocument/2006/relationships/hyperlink" Id="rId15"/>
    <Relationship TargetMode="External" Target="https://www.legis.iowa.gov/docs/iac/rule/481.503.5.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rule/481.506.24.pdf" Type="http://schemas.openxmlformats.org/officeDocument/2006/relationships/hyperlink" Id="rId18"/>
    <Relationship TargetMode="External" Target="https://www.legis.iowa.gov/docs/iac/rule/481.506.26.pdf" Type="http://schemas.openxmlformats.org/officeDocument/2006/relationships/hyperlink" Id="rId19"/>
    <Relationship TargetMode="External" Target="https://www.legis.iowa.gov/docs/iac/rule/481.506.6.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272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