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MODEL RULES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MODEL RULES FOR BOARD ADMINISTRATIVE PROCESSES</w:t>
      </w:r>
    </w:p>
    <w:p>
      <w:pPr>
        <w:spacing w:before="0" w:after="0"/>
        <w:ind w:left="120"/>
        <w:jc w:val="center"/>
      </w:pPr>
      <w:r>
        <w:rPr>
          <w:rFonts w:ascii="Times New Roman" w:hAnsi="Times New Roman"/>
          <w:b w:val="false"/>
          <w:i w:val="false"/>
          <w:color w:val="000000"/>
          <w:sz w:val="14"/>
        </w:rPr>
        <w:t>[Prior to 9/18/24, see Professional Licensure Division[645] Ch 4]</w:t>
      </w:r>
    </w:p>
    <w:p>
      <w:pPr>
        <w:spacing w:before="0" w:after="0"/>
        <w:ind w:left="120"/>
        <w:jc w:val="both"/>
      </w:pPr>
      <w:r>
        <w:rPr>
          <w:rFonts w:ascii="Times New Roman" w:hAnsi="Times New Roman"/>
          <w:b/>
          <w:i w:val="false"/>
          <w:color w:val="000000"/>
          <w:sz w:val="22"/>
        </w:rPr>
        <w:t>481—500.1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practice the specific practice governed by one of the boards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the specific practice governed by one of the boards defined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each professional licensing board is to administer and enforce the provisions of Iowa Code chapters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practice-specific provisions in Iowa Code chapters </w:t>
      </w:r>
      <w:hyperlink r:id="rId8">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applicable to each board. The mission of each professional licensing board is to protect the public health, safety and welfare by licensing qualified individuals who provide services to consumers and by fair and consistent enforcement of the statutes and rules of each board. Responsibilities of each professional licensing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val="false"/>
          <w:color w:val="000000"/>
          <w:sz w:val="22"/>
        </w:rPr>
        <w:t>Licensing qualified applicants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licensing board is composed of members appointed by the governor and confirmed by the senate as defined in Iowa Code chapter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Each board elects a chairperson and vice chairperson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each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2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Each professional licensing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continuing education rules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if the board votes to do so in a public roll-call vote with an affirmative vote of at least two-thirds if the total board is present or a unanimous vote if fewer are present. The board shall keep minutes of all discussion, persons present, and action occurring at a closed session. The records shall be stored securely in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alleged violations of statutes or rules that relate to the practice of licensees upon receipt of a complaint or upon the board’s own initiation.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licenses that are restricted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and register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complaints to one or more registered peer reviewers for investigation and review. The peer reviewers will review cases and recommend appropriate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481—500.4</w:t>
      </w:r>
      <w:r>
        <w:rPr>
          <w:rFonts w:ascii="Times New Roman" w:hAnsi="Times New Roman"/>
          <w:b/>
          <w:i w:val="false"/>
          <w:color w:val="000000"/>
          <w:sz w:val="22"/>
        </w:rPr>
        <w:t xml:space="preserve">(17A) </w:t>
      </w:r>
      <w:r>
        <w:rPr>
          <w:rFonts w:ascii="Times New Roman" w:hAnsi="Times New Roman"/>
          <w:b/>
          <w:i w:val="false"/>
          <w:color w:val="000000"/>
          <w:sz w:val="22"/>
        </w:rPr>
        <w:t xml:space="preserve">Name and 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Notice of change of address. Each licensee shall notify the board of a change of the licensee’s current mailing address within 30 days after the change of address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Each licensee shall notify the board in writing of a change of name within 30 days after changing the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481—500.5</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w:t>
      </w:r>
      <w:r>
        <w:rPr>
          <w:rFonts w:ascii="Times New Roman" w:hAnsi="Times New Roman"/>
          <w:b w:val="false"/>
          <w:i w:val="false"/>
          <w:color w:val="000000"/>
          <w:sz w:val="22"/>
        </w:rPr>
        <w:t>A duplicate certificate is required if the current certificate is lost, stolen or destroyed. Duplicate certificates may be purchased online.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When the board denies an applicant licensure, the board shall notify the applicant of the denial in writing and cite the reasons for which the application was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licensure by the board may appeal the denial and request a hearing by submitting a request in writing within 30 days following the date of mailing of the notification of licensure denial to the applicant. The request for hearing shall specifically describe the facts to be contested and determined at the hearing. The hearing and subsequent procedures will be held pursuant to the process outlined in Iowa Code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481—500.7</w:t>
      </w:r>
      <w:r>
        <w:rPr>
          <w:rFonts w:ascii="Times New Roman" w:hAnsi="Times New Roman"/>
          <w:b/>
          <w:i w:val="false"/>
          <w:color w:val="000000"/>
          <w:sz w:val="22"/>
        </w:rPr>
        <w:t xml:space="preserve">(272C) </w:t>
      </w:r>
      <w:r>
        <w:rPr>
          <w:rFonts w:ascii="Times New Roman" w:hAnsi="Times New Roman"/>
          <w:b/>
          <w:i w:val="false"/>
          <w:color w:val="000000"/>
          <w:sz w:val="22"/>
        </w:rPr>
        <w:t xml:space="preserve">Audit of continuing education. </w:t>
      </w:r>
      <w:r>
        <w:rPr>
          <w:rFonts w:ascii="Times New Roman" w:hAnsi="Times New Roman"/>
          <w:b w:val="false"/>
          <w:i w:val="false"/>
          <w:color w:val="000000"/>
          <w:sz w:val="22"/>
        </w:rPr>
        <w:t>The board may select licensees for audit following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If selected for audit, the licensee will provide certificates of completion of continuing education within 30 days of notice. The documents will contain the course date, title, contact hours, sponsor and licensee’s name.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All licensees must retain continuing education certificates for two years after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submitted certificates are incomplete or unsatisfactory, the licensee may submit make-up credit to cover the deficit. The deadline for make-up credit is 90 days from the date of the notice of deficit.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481—500.8</w:t>
      </w:r>
      <w:r>
        <w:rPr>
          <w:rFonts w:ascii="Times New Roman" w:hAnsi="Times New Roman"/>
          <w:b/>
          <w:i w:val="false"/>
          <w:color w:val="000000"/>
          <w:sz w:val="22"/>
        </w:rPr>
        <w:t xml:space="preserve">(272C,83GA,SF2325)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A licensee is exempt from the continuing education requirement during the license biennium when the licensee: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Resided in another state or district having continuing education requirements;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A licensee who has had a physical or mental disability or illness during the license period may apply for an exemption providing an extension of time or exemption from some or all of the continuing education requirements. An applicant shall submit a completed application form approved by the board for an exemption. If the application is from a licensee who is the primary caregiver for a relative who is ill or disabled and needs care from that primary caregiver, the physician shall verify the licensee’s status as the primary caregiver. A licensee who applies for an exemption shall be notified of the decision regarding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extension of time to fulfill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500.9(2)</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continuing education requirement for any period of time not to exceed two calendar years. If the physical or mental disability or illness for which an extension or exemption was granted continues beyond the period initially approved by the board,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500.9(3)</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licensee to make up a portion of the continuing education requirement in the manner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481—500.10</w:t>
      </w:r>
      <w:r>
        <w:rPr>
          <w:rFonts w:ascii="Times New Roman" w:hAnsi="Times New Roman"/>
          <w:b/>
          <w:i w:val="false"/>
          <w:color w:val="000000"/>
          <w:sz w:val="22"/>
        </w:rPr>
        <w:t xml:space="preserve">(147,272C) </w:t>
      </w:r>
      <w:r>
        <w:rPr>
          <w:rFonts w:ascii="Times New Roman" w:hAnsi="Times New Roman"/>
          <w:b/>
          <w:i w:val="false"/>
          <w:color w:val="000000"/>
          <w:sz w:val="22"/>
        </w:rPr>
        <w:t xml:space="preserve">Order for physical, mental, substance abuse or clinical competency examination. </w:t>
      </w:r>
      <w:r>
        <w:rPr>
          <w:rFonts w:ascii="Times New Roman" w:hAnsi="Times New Roman"/>
          <w:b w:val="false"/>
          <w:i w:val="false"/>
          <w:color w:val="000000"/>
          <w:sz w:val="22"/>
        </w:rPr>
        <w:t>If the board has probable cause, a licensee may be required to submit to a physical, mental, substance abuse or clinical competency examination at the licensee’s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for a physical, mental, substance abuse or clinical competency examination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time the licensee has to complete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licensee is to sign necessary releases for the board to communicate with the examiner of the evaluation or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is to communicate with the board regarding the status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will have the examiner provide the examination results directly to the board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examination order, the licensee may request additional time to schedule or complete the examination or may request that the board approve an alternative examiner or treatment facility. The board in its discretion shall determine whether to grant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order and who objects to the order may file a request for hearing. The request for hearing must be filed within 30 days of the date of the examination order, and the request for hearing shall specifically identify the factual and legal issues upon which the licensee bases the objection. A licensee who fails to timely file a request for hearing to object to an examination order waives any future objection to the examination order in the event formal disciplinary charges are filed for failure to comply with the examination order or on any other grounds. The hearing shall be considered a contested case proceeding and shall be governed by the provisions of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On judicial review of a board decision in a contested case involving an objection to an examination order, the case will be captioned to maintain the licensee’s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examination order shall be closed pursuant to Iowa Code section </w:t>
      </w:r>
      <w:hyperlink r:id="rId32">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examination order and any subsequent examination reports issued in the course of a board investigation are confidential investigative information pursuant to Iowa Code section </w:t>
      </w:r>
      <w:hyperlink r:id="rId33">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regarding the examination order shall be provided to the licensee in the event the licensee files an objection, under </w:t>
      </w:r>
      <w:hyperlink r:id="rId34">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500.15(3)</w:t>
      </w:r>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shall be waived as to the admissibility of the examining physicians’ or health care providers’ testimony or examination reports on the grounds that they constitute privileged communication. The medical testimony or examination reports shall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physical, mental, substance abuse or clinical competency examination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Noncompliance rules regarding child support and nonpayment of state debt. </w:t>
      </w:r>
      <w:r>
        <w:rPr>
          <w:rFonts w:ascii="Times New Roman" w:hAnsi="Times New Roman"/>
          <w:b w:val="false"/>
          <w:i w:val="false"/>
          <w:color w:val="000000"/>
          <w:sz w:val="22"/>
        </w:rPr>
        <w:t>The board hereby adopts by reference 481—Chapter 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[Filed ARC 7586B</w:t>
      </w:r>
      <w:r>
        <w:rPr>
          <w:rFonts w:ascii="Times New Roman" w:hAnsi="Times New Roman"/>
          <w:b w:val="false"/>
          <w:i w:val="false"/>
          <w:color w:val="000000"/>
          <w:sz w:val="21"/>
        </w:rPr>
        <w:t xml:space="preserve"> (Notice ARC 7165B, IAB 9/24/08)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8706B</w:t>
      </w:r>
      <w:r>
        <w:rPr>
          <w:rFonts w:ascii="Times New Roman" w:hAnsi="Times New Roman"/>
          <w:b w:val="false"/>
          <w:i w:val="false"/>
          <w:color w:val="000000"/>
          <w:sz w:val="21"/>
        </w:rPr>
        <w:t xml:space="preserve"> (Notice ARC 8334B, IAB 12/2/09)</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9171B</w:t>
      </w:r>
      <w:r>
        <w:rPr>
          <w:rFonts w:ascii="Times New Roman" w:hAnsi="Times New Roman"/>
          <w:b w:val="false"/>
          <w:i w:val="false"/>
          <w:color w:val="000000"/>
          <w:sz w:val="21"/>
        </w:rPr>
        <w:t xml:space="preserve"> (Notice ARC 8784B,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9768B</w:t>
      </w:r>
      <w:r>
        <w:rPr>
          <w:rFonts w:ascii="Times New Roman" w:hAnsi="Times New Roman"/>
          <w:b w:val="false"/>
          <w:i w:val="false"/>
          <w:color w:val="000000"/>
          <w:sz w:val="21"/>
        </w:rPr>
        <w:t xml:space="preserve"> (Notice ARC 9459B, IAB 4/20/11)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5189C</w:t>
      </w:r>
      <w:r>
        <w:rPr>
          <w:rFonts w:ascii="Times New Roman" w:hAnsi="Times New Roman"/>
          <w:b w:val="false"/>
          <w:i w:val="false"/>
          <w:color w:val="000000"/>
          <w:sz w:val="21"/>
        </w:rPr>
        <w:t xml:space="preserve"> (Notice ARC 4963C, IAB 3/11/20)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8077C</w:t>
      </w:r>
      <w:r>
        <w:rPr>
          <w:rFonts w:ascii="Times New Roman" w:hAnsi="Times New Roman"/>
          <w:b w:val="false"/>
          <w:i w:val="false"/>
          <w:color w:val="000000"/>
          <w:sz w:val="21"/>
        </w:rPr>
        <w:t xml:space="preserve"> (Notice ARC 7297C,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8A.pdf" Type="http://schemas.openxmlformats.org/officeDocument/2006/relationships/hyperlink" Id="rId8"/>
    <Relationship TargetMode="External" Target="https://www.legis.iowa.gov/docs/ico/chapter/148B.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49.pdf" Type="http://schemas.openxmlformats.org/officeDocument/2006/relationships/hyperlink" Id="rId11"/>
    <Relationship TargetMode="External" Target="https://www.legis.iowa.gov/docs/ico/chapter/151.pdf" Type="http://schemas.openxmlformats.org/officeDocument/2006/relationships/hyperlink" Id="rId12"/>
    <Relationship TargetMode="External" Target="https://www.legis.iowa.gov/docs/ico/chapter/152A.pdf" Type="http://schemas.openxmlformats.org/officeDocument/2006/relationships/hyperlink" Id="rId13"/>
    <Relationship TargetMode="External" Target="https://www.legis.iowa.gov/docs/ico/chapter/152B.pdf" Type="http://schemas.openxmlformats.org/officeDocument/2006/relationships/hyperlink" Id="rId14"/>
    <Relationship TargetMode="External" Target="https://www.legis.iowa.gov/docs/ico/chapter/152C.pdf" Type="http://schemas.openxmlformats.org/officeDocument/2006/relationships/hyperlink" Id="rId15"/>
    <Relationship TargetMode="External" Target="https://www.legis.iowa.gov/docs/ico/chapter/152D.pdf" Type="http://schemas.openxmlformats.org/officeDocument/2006/relationships/hyperlink" Id="rId16"/>
    <Relationship TargetMode="External" Target="https://www.legis.iowa.gov/docs/ico/chapter/154.pdf" Type="http://schemas.openxmlformats.org/officeDocument/2006/relationships/hyperlink" Id="rId17"/>
    <Relationship TargetMode="External" Target="https://www.legis.iowa.gov/docs/ico/chapter/154A.pdf" Type="http://schemas.openxmlformats.org/officeDocument/2006/relationships/hyperlink" Id="rId18"/>
    <Relationship TargetMode="External" Target="https://www.legis.iowa.gov/docs/ico/chapter/154B.pdf" Type="http://schemas.openxmlformats.org/officeDocument/2006/relationships/hyperlink" Id="rId19"/>
    <Relationship TargetMode="External" Target="https://www.legis.iowa.gov/docs/ico/chapter/154C.pdf" Type="http://schemas.openxmlformats.org/officeDocument/2006/relationships/hyperlink" Id="rId20"/>
    <Relationship TargetMode="External" Target="https://www.legis.iowa.gov/docs/ico/chapter/154D.pdf" Type="http://schemas.openxmlformats.org/officeDocument/2006/relationships/hyperlink" Id="rId21"/>
    <Relationship TargetMode="External" Target="https://www.legis.iowa.gov/docs/ico/chapter/154E.pdf" Type="http://schemas.openxmlformats.org/officeDocument/2006/relationships/hyperlink" Id="rId22"/>
    <Relationship TargetMode="External" Target="https://www.legis.iowa.gov/docs/ico/chapter/155.pdf" Type="http://schemas.openxmlformats.org/officeDocument/2006/relationships/hyperlink" Id="rId23"/>
    <Relationship TargetMode="External" Target="https://www.legis.iowa.gov/docs/ico/chapter/156.pdf" Type="http://schemas.openxmlformats.org/officeDocument/2006/relationships/hyperlink" Id="rId24"/>
    <Relationship TargetMode="External" Target="https://www.legis.iowa.gov/docs/ico/chapter/157.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21.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272C.pdf" Type="http://schemas.openxmlformats.org/officeDocument/2006/relationships/hyperlink" Id="rId29"/>
    <Relationship TargetMode="External" Target="https://www.legis.iowa.gov/docs/iac/chapter/481.506.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272C.pdf" Type="http://schemas.openxmlformats.org/officeDocument/2006/relationships/hyperlink" Id="rId33"/>
    <Relationship TargetMode="External" Target="https://www.legis.iowa.gov/docs/iac/rule/645.4.15.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1.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252J.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272D.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