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68</w:t>
      </w:r>
    </w:p>
    <w:p>
      <w:pPr>
        <w:spacing w:before="0" w:after="0"/>
        <w:ind w:left="120"/>
        <w:jc w:val="center"/>
      </w:pPr>
      <w:r>
        <w:rPr>
          <w:rFonts w:ascii="Times New Roman" w:hAnsi="Times New Roman"/>
          <w:b w:val="false"/>
          <w:i w:val="false"/>
          <w:color w:val="000000"/>
          <w:sz w:val="21"/>
        </w:rPr>
        <w:t>HIGH QUALITY JOBS PROGRAM (HQJP)</w:t>
      </w:r>
    </w:p>
    <w:p>
      <w:pPr>
        <w:spacing w:before="0" w:after="0"/>
        <w:ind w:left="120"/>
        <w:jc w:val="both"/>
      </w:pPr>
      <w:r>
        <w:rPr>
          <w:rFonts w:ascii="Times New Roman" w:hAnsi="Times New Roman"/>
          <w:b/>
          <w:i w:val="false"/>
          <w:color w:val="000000"/>
          <w:sz w:val="22"/>
        </w:rPr>
        <w:t>261—68.1</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unless the context otherwise requires:</w:t>
      </w:r>
    </w:p>
    <w:p>
      <w:pPr>
        <w:spacing w:before="0" w:after="0"/>
        <w:ind w:left="120"/>
        <w:jc w:val="both"/>
      </w:pP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same as defined in Iowa Code section </w:t>
      </w:r>
      <w:hyperlink r:id="rId4">
        <w:r>
          <w:rPr>
            <w:rStyle w:val="Hyperlink"/>
            <w:rFonts w:ascii="Times New Roman" w:hAnsi="Times New Roman"/>
            <w:b w:val="false"/>
            <w:i w:val="false"/>
            <w:color w:val="000000"/>
            <w:sz w:val="22"/>
          </w:rPr>
          <w:t>15.327(1)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“Award date” </w:t>
      </w:r>
      <w:r>
        <w:rPr>
          <w:rFonts w:ascii="Times New Roman" w:hAnsi="Times New Roman"/>
          <w:b w:val="false"/>
          <w:i w:val="false"/>
          <w:color w:val="000000"/>
          <w:sz w:val="22"/>
        </w:rPr>
        <w:t>means the date the board approved an application for project completion assistance or tax incentives.</w:t>
      </w:r>
    </w:p>
    <w:p>
      <w:pPr>
        <w:spacing w:before="0" w:after="0"/>
        <w:ind w:left="120"/>
        <w:jc w:val="both"/>
      </w:pPr>
      <w:r>
        <w:rPr>
          <w:rFonts w:ascii="Times New Roman" w:hAnsi="Times New Roman"/>
          <w:b w:val="false"/>
          <w:i/>
          <w:color w:val="000000"/>
          <w:sz w:val="22"/>
        </w:rPr>
        <w:t xml:space="preserve">“Base employment level”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15.327(2)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color w:val="000000"/>
          <w:sz w:val="22"/>
        </w:rPr>
        <w:t xml:space="preserve">“Benefit”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15.327(3)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15.102(4)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“Brownfield site”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15.291(2)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“Business” </w:t>
      </w:r>
      <w:r>
        <w:rPr>
          <w:rFonts w:ascii="Times New Roman" w:hAnsi="Times New Roman"/>
          <w:b w:val="false"/>
          <w:i w:val="false"/>
          <w:color w:val="000000"/>
          <w:sz w:val="22"/>
        </w:rPr>
        <w:t>means a sole proprietorship, partnership, corporation, or other business entity organized for profit under the laws of the state of Iowa or another state, under federal statutes, or under the laws of another country.</w:t>
      </w:r>
    </w:p>
    <w:p>
      <w:pPr>
        <w:spacing w:before="0" w:after="0"/>
        <w:ind w:left="120"/>
        <w:jc w:val="both"/>
      </w:pPr>
      <w:r>
        <w:rPr>
          <w:rFonts w:ascii="Times New Roman" w:hAnsi="Times New Roman"/>
          <w:b w:val="false"/>
          <w:i/>
          <w:color w:val="000000"/>
          <w:sz w:val="22"/>
        </w:rPr>
        <w:t xml:space="preserve">“Community”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15.327(6)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“Created job”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15.327(8)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“Eligible business” </w:t>
      </w:r>
      <w:r>
        <w:rPr>
          <w:rFonts w:ascii="Times New Roman" w:hAnsi="Times New Roman"/>
          <w:b w:val="false"/>
          <w:i w:val="false"/>
          <w:color w:val="000000"/>
          <w:sz w:val="22"/>
        </w:rPr>
        <w:t xml:space="preserve">means a business that meets the conditions of Iowa Code section </w:t>
      </w:r>
      <w:hyperlink r:id="rId11">
        <w:r>
          <w:rPr>
            <w:rStyle w:val="Hyperlink"/>
            <w:rFonts w:ascii="Times New Roman" w:hAnsi="Times New Roman"/>
            <w:b w:val="false"/>
            <w:i w:val="false"/>
            <w:color w:val="000000"/>
            <w:sz w:val="22"/>
          </w:rPr>
          <w:t>15.329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“Fiscal impact ratio”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15.327(11)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“Forgivable loan” </w:t>
      </w:r>
      <w:r>
        <w:rPr>
          <w:rFonts w:ascii="Times New Roman" w:hAnsi="Times New Roman"/>
          <w:b w:val="false"/>
          <w:i w:val="false"/>
          <w:color w:val="000000"/>
          <w:sz w:val="22"/>
        </w:rPr>
        <w:t>is a loan for which repayment is eliminated in part or entirely if the borrower satisfies specified conditions.</w:t>
      </w:r>
    </w:p>
    <w:p>
      <w:pPr>
        <w:spacing w:before="0" w:after="0"/>
        <w:ind w:left="120"/>
        <w:jc w:val="both"/>
      </w:pPr>
      <w:r>
        <w:rPr>
          <w:rFonts w:ascii="Times New Roman" w:hAnsi="Times New Roman"/>
          <w:b w:val="false"/>
          <w:i/>
          <w:color w:val="000000"/>
          <w:sz w:val="22"/>
        </w:rPr>
        <w:t xml:space="preserve">“Full-time equivalent position”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15.327(12)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“Grayfield site” </w:t>
      </w:r>
      <w:r>
        <w:rPr>
          <w:rFonts w:ascii="Times New Roman" w:hAnsi="Times New Roman"/>
          <w:b w:val="false"/>
          <w:i w:val="false"/>
          <w:color w:val="000000"/>
          <w:sz w:val="22"/>
        </w:rPr>
        <w:t xml:space="preserve">means the same as defined in Iowa Code section </w:t>
      </w:r>
      <w:hyperlink r:id="rId14">
        <w:r>
          <w:rPr>
            <w:rStyle w:val="Hyperlink"/>
            <w:rFonts w:ascii="Times New Roman" w:hAnsi="Times New Roman"/>
            <w:b w:val="false"/>
            <w:i w:val="false"/>
            <w:color w:val="000000"/>
            <w:sz w:val="22"/>
          </w:rPr>
          <w:t>15.291(4)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“High quality jobs” </w:t>
      </w:r>
      <w:r>
        <w:rPr>
          <w:rFonts w:ascii="Times New Roman" w:hAnsi="Times New Roman"/>
          <w:b w:val="false"/>
          <w:i w:val="false"/>
          <w:color w:val="000000"/>
          <w:sz w:val="22"/>
        </w:rPr>
        <w:t xml:space="preserve">means created or retained jobs that meet the applicable wage requirements established in Iowa Code section </w:t>
      </w:r>
      <w:hyperlink r:id="rId15">
        <w:r>
          <w:rPr>
            <w:rStyle w:val="Hyperlink"/>
            <w:rFonts w:ascii="Times New Roman" w:hAnsi="Times New Roman"/>
            <w:b w:val="false"/>
            <w:i w:val="false"/>
            <w:color w:val="000000"/>
            <w:sz w:val="22"/>
          </w:rPr>
          <w:t>15.329(1)</w:t>
        </w:r>
      </w:hyperlink>
      <w:r>
        <w:rPr>
          <w:rFonts w:ascii="Times New Roman" w:hAnsi="Times New Roman"/>
          <w:b w:val="false"/>
          <w:i/>
          <w:color w:val="000000"/>
          <w:sz w:val="22"/>
        </w:rPr>
        <w:t>“c”</w:t>
      </w:r>
      <w:r>
        <w:rPr>
          <w:rFonts w:ascii="Times New Roman" w:hAnsi="Times New Roman"/>
          <w:b w:val="false"/>
          <w:i w:val="false"/>
          <w:color w:val="000000"/>
          <w:sz w:val="22"/>
        </w:rPr>
        <w:t xml:space="preserve"> or </w:t>
      </w:r>
      <w:hyperlink r:id="rId16">
        <w:r>
          <w:rPr>
            <w:rStyle w:val="Hyperlink"/>
            <w:rFonts w:ascii="Times New Roman" w:hAnsi="Times New Roman"/>
            <w:b w:val="false"/>
            <w:i w:val="false"/>
            <w:color w:val="000000"/>
            <w:sz w:val="22"/>
          </w:rPr>
          <w:t>15.335C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“Laborshed area” </w:t>
      </w:r>
      <w:r>
        <w:rPr>
          <w:rFonts w:ascii="Times New Roman" w:hAnsi="Times New Roman"/>
          <w:b w:val="false"/>
          <w:i w:val="false"/>
          <w:color w:val="000000"/>
          <w:sz w:val="22"/>
        </w:rPr>
        <w:t>means the geographic area surrounding an employment center from which the employment center draws its commuting workers as defined by the department of workforce development.</w:t>
      </w:r>
    </w:p>
    <w:p>
      <w:pPr>
        <w:spacing w:before="0" w:after="0"/>
        <w:ind w:left="120"/>
        <w:jc w:val="both"/>
      </w:pPr>
      <w:r>
        <w:rPr>
          <w:rFonts w:ascii="Times New Roman" w:hAnsi="Times New Roman"/>
          <w:b w:val="false"/>
          <w:i/>
          <w:color w:val="000000"/>
          <w:sz w:val="22"/>
        </w:rPr>
        <w:t xml:space="preserve">“Laborshed wage” </w:t>
      </w:r>
      <w:r>
        <w:rPr>
          <w:rFonts w:ascii="Times New Roman" w:hAnsi="Times New Roman"/>
          <w:b w:val="false"/>
          <w:i w:val="false"/>
          <w:color w:val="000000"/>
          <w:sz w:val="22"/>
        </w:rPr>
        <w:t xml:space="preserve">means the same as defined in Iowa Code section </w:t>
      </w:r>
      <w:hyperlink r:id="rId17">
        <w:r>
          <w:rPr>
            <w:rStyle w:val="Hyperlink"/>
            <w:rFonts w:ascii="Times New Roman" w:hAnsi="Times New Roman"/>
            <w:b w:val="false"/>
            <w:i w:val="false"/>
            <w:color w:val="000000"/>
            <w:sz w:val="22"/>
          </w:rPr>
          <w:t>15.327(15)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color w:val="000000"/>
          <w:sz w:val="22"/>
        </w:rPr>
        <w:t xml:space="preserve">“Loan” </w:t>
      </w:r>
      <w:r>
        <w:rPr>
          <w:rFonts w:ascii="Times New Roman" w:hAnsi="Times New Roman"/>
          <w:b w:val="false"/>
          <w:i w:val="false"/>
          <w:color w:val="000000"/>
          <w:sz w:val="22"/>
        </w:rPr>
        <w:t xml:space="preserve">means funds provided that must be repaid with term, interest rate, and other conditions specified in an agreement entered into pursuant to Iowa Code section </w:t>
      </w:r>
      <w:hyperlink r:id="rId18">
        <w:r>
          <w:rPr>
            <w:rStyle w:val="Hyperlink"/>
            <w:rFonts w:ascii="Times New Roman" w:hAnsi="Times New Roman"/>
            <w:b w:val="false"/>
            <w:i w:val="false"/>
            <w:color w:val="000000"/>
            <w:sz w:val="22"/>
          </w:rPr>
          <w:t>15.330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color w:val="000000"/>
          <w:sz w:val="22"/>
        </w:rPr>
        <w:t xml:space="preserve">“Maintenance period” </w:t>
      </w:r>
      <w:r>
        <w:rPr>
          <w:rFonts w:ascii="Times New Roman" w:hAnsi="Times New Roman"/>
          <w:b w:val="false"/>
          <w:i w:val="false"/>
          <w:color w:val="000000"/>
          <w:sz w:val="22"/>
        </w:rPr>
        <w:t xml:space="preserve">means the same as defined in Iowa Code section </w:t>
      </w:r>
      <w:hyperlink r:id="rId19">
        <w:r>
          <w:rPr>
            <w:rStyle w:val="Hyperlink"/>
            <w:rFonts w:ascii="Times New Roman" w:hAnsi="Times New Roman"/>
            <w:b w:val="false"/>
            <w:i w:val="false"/>
            <w:color w:val="000000"/>
            <w:sz w:val="22"/>
          </w:rPr>
          <w:t>15.327(17)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“Maintenance period completion date” </w:t>
      </w:r>
      <w:r>
        <w:rPr>
          <w:rFonts w:ascii="Times New Roman" w:hAnsi="Times New Roman"/>
          <w:b w:val="false"/>
          <w:i w:val="false"/>
          <w:color w:val="000000"/>
          <w:sz w:val="22"/>
        </w:rPr>
        <w:t xml:space="preserve">means the same as defined in Iowa Code section </w:t>
      </w:r>
      <w:hyperlink r:id="rId20">
        <w:r>
          <w:rPr>
            <w:rStyle w:val="Hyperlink"/>
            <w:rFonts w:ascii="Times New Roman" w:hAnsi="Times New Roman"/>
            <w:b w:val="false"/>
            <w:i w:val="false"/>
            <w:color w:val="000000"/>
            <w:sz w:val="22"/>
          </w:rPr>
          <w:t>15.327(18)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color w:val="000000"/>
          <w:sz w:val="22"/>
        </w:rPr>
        <w:t xml:space="preserve">“Modernization project” </w:t>
      </w:r>
      <w:r>
        <w:rPr>
          <w:rFonts w:ascii="Times New Roman" w:hAnsi="Times New Roman"/>
          <w:b w:val="false"/>
          <w:i w:val="false"/>
          <w:color w:val="000000"/>
          <w:sz w:val="22"/>
        </w:rPr>
        <w:t xml:space="preserve">means a project that will result in increased skills and wages for current employees and that does not involve created or retained jobs. </w:t>
      </w:r>
    </w:p>
    <w:p>
      <w:pPr>
        <w:spacing w:before="0" w:after="0"/>
        <w:ind w:left="120"/>
        <w:jc w:val="both"/>
      </w:pP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the same as defined in Iowa Code section </w:t>
      </w:r>
      <w:hyperlink r:id="rId21">
        <w:r>
          <w:rPr>
            <w:rStyle w:val="Hyperlink"/>
            <w:rFonts w:ascii="Times New Roman" w:hAnsi="Times New Roman"/>
            <w:b w:val="false"/>
            <w:i w:val="false"/>
            <w:color w:val="000000"/>
            <w:sz w:val="22"/>
          </w:rPr>
          <w:t>15.327(19)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“Project” </w:t>
      </w:r>
      <w:r>
        <w:rPr>
          <w:rFonts w:ascii="Times New Roman" w:hAnsi="Times New Roman"/>
          <w:b w:val="false"/>
          <w:i w:val="false"/>
          <w:color w:val="000000"/>
          <w:sz w:val="22"/>
        </w:rPr>
        <w:t xml:space="preserve">means the same as defined in Iowa Code section </w:t>
      </w:r>
      <w:hyperlink r:id="rId22">
        <w:r>
          <w:rPr>
            <w:rStyle w:val="Hyperlink"/>
            <w:rFonts w:ascii="Times New Roman" w:hAnsi="Times New Roman"/>
            <w:b w:val="false"/>
            <w:i w:val="false"/>
            <w:color w:val="000000"/>
            <w:sz w:val="22"/>
          </w:rPr>
          <w:t>15.327(21)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“Project completion assistance” </w:t>
      </w:r>
      <w:r>
        <w:rPr>
          <w:rFonts w:ascii="Times New Roman" w:hAnsi="Times New Roman"/>
          <w:b w:val="false"/>
          <w:i w:val="false"/>
          <w:color w:val="000000"/>
          <w:sz w:val="22"/>
        </w:rPr>
        <w:t xml:space="preserve">means the same as defined in Iowa Code section </w:t>
      </w:r>
      <w:hyperlink r:id="rId23">
        <w:r>
          <w:rPr>
            <w:rStyle w:val="Hyperlink"/>
            <w:rFonts w:ascii="Times New Roman" w:hAnsi="Times New Roman"/>
            <w:b w:val="false"/>
            <w:i w:val="false"/>
            <w:color w:val="000000"/>
            <w:sz w:val="22"/>
          </w:rPr>
          <w:t>15.327(22)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“Project completion date” </w:t>
      </w:r>
      <w:r>
        <w:rPr>
          <w:rFonts w:ascii="Times New Roman" w:hAnsi="Times New Roman"/>
          <w:b w:val="false"/>
          <w:i w:val="false"/>
          <w:color w:val="000000"/>
          <w:sz w:val="22"/>
        </w:rPr>
        <w:t xml:space="preserve">means the same as defined in Iowa Code section </w:t>
      </w:r>
      <w:hyperlink r:id="rId24">
        <w:r>
          <w:rPr>
            <w:rStyle w:val="Hyperlink"/>
            <w:rFonts w:ascii="Times New Roman" w:hAnsi="Times New Roman"/>
            <w:b w:val="false"/>
            <w:i w:val="false"/>
            <w:color w:val="000000"/>
            <w:sz w:val="22"/>
          </w:rPr>
          <w:t>15.327(23)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“Project completion period” </w:t>
      </w:r>
      <w:r>
        <w:rPr>
          <w:rFonts w:ascii="Times New Roman" w:hAnsi="Times New Roman"/>
          <w:b w:val="false"/>
          <w:i w:val="false"/>
          <w:color w:val="000000"/>
          <w:sz w:val="22"/>
        </w:rPr>
        <w:t xml:space="preserve">means the same as defined in Iowa Code section </w:t>
      </w:r>
      <w:hyperlink r:id="rId25">
        <w:r>
          <w:rPr>
            <w:rStyle w:val="Hyperlink"/>
            <w:rFonts w:ascii="Times New Roman" w:hAnsi="Times New Roman"/>
            <w:b w:val="false"/>
            <w:i w:val="false"/>
            <w:color w:val="000000"/>
            <w:sz w:val="22"/>
          </w:rPr>
          <w:t>15.327(24)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“Qualifying wage threshold” </w:t>
      </w:r>
      <w:r>
        <w:rPr>
          <w:rFonts w:ascii="Times New Roman" w:hAnsi="Times New Roman"/>
          <w:b w:val="false"/>
          <w:i w:val="false"/>
          <w:color w:val="000000"/>
          <w:sz w:val="22"/>
        </w:rPr>
        <w:t xml:space="preserve">means the same as defined in Iowa Code section </w:t>
      </w:r>
      <w:hyperlink r:id="rId26">
        <w:r>
          <w:rPr>
            <w:rStyle w:val="Hyperlink"/>
            <w:rFonts w:ascii="Times New Roman" w:hAnsi="Times New Roman"/>
            <w:b w:val="false"/>
            <w:i w:val="false"/>
            <w:color w:val="000000"/>
            <w:sz w:val="22"/>
          </w:rPr>
          <w:t>15.327(26)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“Retained job” </w:t>
      </w:r>
      <w:r>
        <w:rPr>
          <w:rFonts w:ascii="Times New Roman" w:hAnsi="Times New Roman"/>
          <w:b w:val="false"/>
          <w:i w:val="false"/>
          <w:color w:val="000000"/>
          <w:sz w:val="22"/>
        </w:rPr>
        <w:t xml:space="preserve">means the same as defined in Iowa Code section </w:t>
      </w:r>
      <w:hyperlink r:id="rId27">
        <w:r>
          <w:rPr>
            <w:rStyle w:val="Hyperlink"/>
            <w:rFonts w:ascii="Times New Roman" w:hAnsi="Times New Roman"/>
            <w:b w:val="false"/>
            <w:i w:val="false"/>
            <w:color w:val="000000"/>
            <w:sz w:val="22"/>
          </w:rPr>
          <w:t>15.327(27)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color w:val="000000"/>
          <w:sz w:val="22"/>
        </w:rPr>
        <w:t xml:space="preserve">“Retention-only project” </w:t>
      </w:r>
      <w:r>
        <w:rPr>
          <w:rFonts w:ascii="Times New Roman" w:hAnsi="Times New Roman"/>
          <w:b w:val="false"/>
          <w:i w:val="false"/>
          <w:color w:val="000000"/>
          <w:sz w:val="22"/>
        </w:rPr>
        <w:t>means a project that involves only retained jobs.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261—68.2</w:t>
      </w:r>
      <w:r>
        <w:rPr>
          <w:rFonts w:ascii="Times New Roman" w:hAnsi="Times New Roman"/>
          <w:b/>
          <w:i w:val="false"/>
          <w:color w:val="000000"/>
          <w:sz w:val="22"/>
        </w:rPr>
        <w:t xml:space="preserve">(15) </w:t>
      </w:r>
      <w:r>
        <w:rPr>
          <w:rFonts w:ascii="Times New Roman" w:hAnsi="Times New Roman"/>
          <w:b/>
          <w:i w:val="false"/>
          <w:color w:val="000000"/>
          <w:sz w:val="22"/>
        </w:rPr>
        <w:t xml:space="preserve">Eligibility requirements. </w:t>
      </w:r>
    </w:p>
    <w:p>
      <w:pPr>
        <w:spacing w:before="0" w:after="0"/>
        <w:ind w:left="120"/>
        <w:jc w:val="both"/>
      </w:pPr>
      <w:r>
        <w:rPr>
          <w:rFonts w:ascii="Times New Roman" w:hAnsi="Times New Roman"/>
          <w:b/>
          <w:i w:val="false"/>
          <w:color w:val="000000"/>
          <w:sz w:val="22"/>
        </w:rPr>
        <w:t>68.2(1)</w:t>
      </w:r>
      <w:r>
        <w:rPr>
          <w:rFonts w:ascii="Times New Roman" w:hAnsi="Times New Roman"/>
          <w:b w:val="false"/>
          <w:i w:val="false"/>
          <w:color w:val="000000"/>
          <w:sz w:val="22"/>
        </w:rPr>
        <w:t> </w:t>
      </w:r>
      <w:r>
        <w:rPr>
          <w:rFonts w:ascii="Times New Roman" w:hAnsi="Times New Roman"/>
          <w:b w:val="false"/>
          <w:i/>
          <w:color w:val="000000"/>
          <w:sz w:val="22"/>
        </w:rPr>
        <w:t xml:space="preserve">Community approval and local match. </w:t>
      </w:r>
      <w:r>
        <w:rPr>
          <w:rFonts w:ascii="Times New Roman" w:hAnsi="Times New Roman"/>
          <w:b w:val="false"/>
          <w:i w:val="false"/>
          <w:color w:val="000000"/>
          <w:sz w:val="22"/>
        </w:rPr>
        <w:t xml:space="preserve">Community approval of the project by ordinance or resolution is required as specified in Iowa Code section </w:t>
      </w:r>
      <w:hyperlink r:id="rId28">
        <w:r>
          <w:rPr>
            <w:rStyle w:val="Hyperlink"/>
            <w:rFonts w:ascii="Times New Roman" w:hAnsi="Times New Roman"/>
            <w:b w:val="false"/>
            <w:i w:val="false"/>
            <w:color w:val="000000"/>
            <w:sz w:val="22"/>
          </w:rPr>
          <w:t>15.329(1)</w:t>
        </w:r>
      </w:hyperlink>
      <w:r>
        <w:rPr>
          <w:rFonts w:ascii="Times New Roman" w:hAnsi="Times New Roman"/>
          <w:b w:val="false"/>
          <w:i/>
          <w:color w:val="000000"/>
          <w:sz w:val="22"/>
        </w:rPr>
        <w:t>“a.”</w:t>
      </w:r>
      <w:r>
        <w:rPr>
          <w:rFonts w:ascii="Times New Roman" w:hAnsi="Times New Roman"/>
          <w:b w:val="false"/>
          <w:i w:val="false"/>
          <w:color w:val="000000"/>
          <w:sz w:val="22"/>
        </w:rPr>
        <w:t xml:space="preserve"> Local match may be required from the community or other relevant entity pursuant to criteria established by the board. The board will periodically approve such criteria to reflect meaningful types and amounts of local match that may be provided. The criteria established by the board may include but not be limited to when local match is required, entities that may provide local match, and acceptable amounts and forms of local match. </w:t>
      </w:r>
    </w:p>
    <w:p>
      <w:pPr>
        <w:spacing w:before="0" w:after="0"/>
        <w:ind w:left="120"/>
        <w:jc w:val="both"/>
      </w:pPr>
      <w:r>
        <w:rPr>
          <w:rFonts w:ascii="Times New Roman" w:hAnsi="Times New Roman"/>
          <w:b/>
          <w:i w:val="false"/>
          <w:color w:val="000000"/>
          <w:sz w:val="22"/>
        </w:rPr>
        <w:t>68.2(2)</w:t>
      </w:r>
      <w:r>
        <w:rPr>
          <w:rFonts w:ascii="Times New Roman" w:hAnsi="Times New Roman"/>
          <w:b w:val="false"/>
          <w:i w:val="false"/>
          <w:color w:val="000000"/>
          <w:sz w:val="22"/>
        </w:rPr>
        <w:t> </w:t>
      </w:r>
      <w:r>
        <w:rPr>
          <w:rFonts w:ascii="Times New Roman" w:hAnsi="Times New Roman"/>
          <w:b w:val="false"/>
          <w:i/>
          <w:color w:val="000000"/>
          <w:sz w:val="22"/>
        </w:rPr>
        <w:t xml:space="preserve">Relocations and reductions in operations. </w:t>
      </w:r>
      <w:r>
        <w:rPr>
          <w:rFonts w:ascii="Times New Roman" w:hAnsi="Times New Roman"/>
          <w:b w:val="false"/>
          <w:i w:val="false"/>
          <w:color w:val="000000"/>
          <w:sz w:val="22"/>
        </w:rPr>
        <w:t xml:space="preserve">The authority will determine whether a business is ineligible due to a relocation or reduction in operations pursuant to Iowa Code section </w:t>
      </w:r>
      <w:hyperlink r:id="rId29">
        <w:r>
          <w:rPr>
            <w:rStyle w:val="Hyperlink"/>
            <w:rFonts w:ascii="Times New Roman" w:hAnsi="Times New Roman"/>
            <w:b w:val="false"/>
            <w:i w:val="false"/>
            <w:color w:val="000000"/>
            <w:sz w:val="22"/>
          </w:rPr>
          <w:t>15.329(1)</w:t>
        </w:r>
      </w:hyperlink>
      <w:r>
        <w:rPr>
          <w:rFonts w:ascii="Times New Roman" w:hAnsi="Times New Roman"/>
          <w:b w:val="false"/>
          <w:i/>
          <w:color w:val="000000"/>
          <w:sz w:val="22"/>
        </w:rPr>
        <w:t>“b.”</w:t>
      </w:r>
    </w:p>
    <w:p>
      <w:pPr>
        <w:spacing w:before="0" w:after="0"/>
        <w:ind w:left="120"/>
        <w:jc w:val="both"/>
      </w:pPr>
      <w:r>
        <w:rPr>
          <w:rFonts w:ascii="Times New Roman" w:hAnsi="Times New Roman"/>
          <w:b/>
          <w:i w:val="false"/>
          <w:color w:val="000000"/>
          <w:sz w:val="22"/>
        </w:rPr>
        <w:t>68.2(3)</w:t>
      </w:r>
      <w:r>
        <w:rPr>
          <w:rFonts w:ascii="Times New Roman" w:hAnsi="Times New Roman"/>
          <w:b w:val="false"/>
          <w:i w:val="false"/>
          <w:color w:val="000000"/>
          <w:sz w:val="22"/>
        </w:rPr>
        <w:t> </w:t>
      </w:r>
      <w:r>
        <w:rPr>
          <w:rFonts w:ascii="Times New Roman" w:hAnsi="Times New Roman"/>
          <w:b w:val="false"/>
          <w:i/>
          <w:color w:val="000000"/>
          <w:sz w:val="22"/>
        </w:rPr>
        <w:t xml:space="preserve">Retail or service businesses. </w:t>
      </w:r>
      <w:r>
        <w:rPr>
          <w:rFonts w:ascii="Times New Roman" w:hAnsi="Times New Roman"/>
          <w:b w:val="false"/>
          <w:i w:val="false"/>
          <w:color w:val="000000"/>
          <w:sz w:val="22"/>
        </w:rPr>
        <w:t xml:space="preserve">For the purposes of determining whether a business is an ineligible retail business pursuant to Iowa Code section </w:t>
      </w:r>
      <w:hyperlink r:id="rId30">
        <w:r>
          <w:rPr>
            <w:rStyle w:val="Hyperlink"/>
            <w:rFonts w:ascii="Times New Roman" w:hAnsi="Times New Roman"/>
            <w:b w:val="false"/>
            <w:i w:val="false"/>
            <w:color w:val="000000"/>
            <w:sz w:val="22"/>
          </w:rPr>
          <w:t>15.329(1)</w:t>
        </w:r>
      </w:hyperlink>
      <w:r>
        <w:rPr>
          <w:rFonts w:ascii="Times New Roman" w:hAnsi="Times New Roman"/>
          <w:b w:val="false"/>
          <w:i/>
          <w:color w:val="000000"/>
          <w:sz w:val="22"/>
        </w:rPr>
        <w:t>“f,”</w:t>
      </w:r>
      <w:r>
        <w:rPr>
          <w:rFonts w:ascii="Times New Roman" w:hAnsi="Times New Roman"/>
          <w:b w:val="false"/>
          <w:i w:val="false"/>
          <w:color w:val="000000"/>
          <w:sz w:val="22"/>
        </w:rPr>
        <w:t xml:space="preserve"> “retail business” means any business engaged in the business of sale at retail of tangible personal property or taxable services in this state or online. “Sale at retail” means the same as defined in Iowa Code section </w:t>
      </w:r>
      <w:hyperlink r:id="rId31">
        <w:r>
          <w:rPr>
            <w:rStyle w:val="Hyperlink"/>
            <w:rFonts w:ascii="Times New Roman" w:hAnsi="Times New Roman"/>
            <w:b w:val="false"/>
            <w:i w:val="false"/>
            <w:color w:val="000000"/>
            <w:sz w:val="22"/>
          </w:rPr>
          <w:t>423.1(46)</w:t>
        </w:r>
      </w:hyperlink>
      <w:r>
        <w:rPr>
          <w:rFonts w:ascii="Times New Roman" w:hAnsi="Times New Roman"/>
          <w:b w:val="false"/>
          <w:i w:val="false"/>
          <w:color w:val="000000"/>
          <w:sz w:val="22"/>
        </w:rPr>
        <w:t xml:space="preserve">. Any business obligated to collect sales or use tax under Iowa Code chapter </w:t>
      </w:r>
      <w:hyperlink r:id="rId32">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xml:space="preserve"> is an ineligible retail business. A service business is not eligible for the program unless a significant proportion of its sales, as determined by the authority, are outside this state.</w:t>
      </w:r>
    </w:p>
    <w:p>
      <w:pPr>
        <w:spacing w:before="0" w:after="0"/>
        <w:ind w:left="120"/>
        <w:jc w:val="both"/>
      </w:pPr>
      <w:r>
        <w:rPr>
          <w:rFonts w:ascii="Times New Roman" w:hAnsi="Times New Roman"/>
          <w:b/>
          <w:i w:val="false"/>
          <w:color w:val="000000"/>
          <w:sz w:val="22"/>
        </w:rPr>
        <w:t>68.2(4)</w:t>
      </w:r>
      <w:r>
        <w:rPr>
          <w:rFonts w:ascii="Times New Roman" w:hAnsi="Times New Roman"/>
          <w:b w:val="false"/>
          <w:i w:val="false"/>
          <w:color w:val="000000"/>
          <w:sz w:val="22"/>
        </w:rPr>
        <w:t> </w:t>
      </w:r>
      <w:r>
        <w:rPr>
          <w:rFonts w:ascii="Times New Roman" w:hAnsi="Times New Roman"/>
          <w:b w:val="false"/>
          <w:i/>
          <w:color w:val="000000"/>
          <w:sz w:val="22"/>
        </w:rPr>
        <w:t xml:space="preserve">Created and retained jobs. </w:t>
      </w:r>
      <w:r>
        <w:rPr>
          <w:rFonts w:ascii="Times New Roman" w:hAnsi="Times New Roman"/>
          <w:b w:val="false"/>
          <w:i w:val="false"/>
          <w:color w:val="000000"/>
          <w:sz w:val="22"/>
        </w:rPr>
        <w:t xml:space="preserve">The jobs created or retained by a business shall pay the applicable wages as established in Iowa Code section </w:t>
      </w:r>
      <w:hyperlink r:id="rId33">
        <w:r>
          <w:rPr>
            <w:rStyle w:val="Hyperlink"/>
            <w:rFonts w:ascii="Times New Roman" w:hAnsi="Times New Roman"/>
            <w:b w:val="false"/>
            <w:i w:val="false"/>
            <w:color w:val="000000"/>
            <w:sz w:val="22"/>
          </w:rPr>
          <w:t>15.329(1)</w:t>
        </w:r>
      </w:hyperlink>
      <w:r>
        <w:rPr>
          <w:rFonts w:ascii="Times New Roman" w:hAnsi="Times New Roman"/>
          <w:b w:val="false"/>
          <w:i/>
          <w:color w:val="000000"/>
          <w:sz w:val="22"/>
        </w:rPr>
        <w:t>“c”</w:t>
      </w:r>
      <w:r>
        <w:rPr>
          <w:rFonts w:ascii="Times New Roman" w:hAnsi="Times New Roman"/>
          <w:b w:val="false"/>
          <w:i w:val="false"/>
          <w:color w:val="000000"/>
          <w:sz w:val="22"/>
        </w:rPr>
        <w:t xml:space="preserve"> or </w:t>
      </w:r>
      <w:hyperlink r:id="rId34">
        <w:r>
          <w:rPr>
            <w:rStyle w:val="Hyperlink"/>
            <w:rFonts w:ascii="Times New Roman" w:hAnsi="Times New Roman"/>
            <w:b w:val="false"/>
            <w:i w:val="false"/>
            <w:color w:val="000000"/>
            <w:sz w:val="22"/>
          </w:rPr>
          <w:t>15.335C</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i w:val="false"/>
          <w:color w:val="000000"/>
          <w:sz w:val="22"/>
        </w:rPr>
        <w:t>68.2(5)</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sufficient benefits. </w:t>
      </w:r>
      <w:r>
        <w:rPr>
          <w:rFonts w:ascii="Times New Roman" w:hAnsi="Times New Roman"/>
          <w:b w:val="false"/>
          <w:i w:val="false"/>
          <w:color w:val="000000"/>
          <w:sz w:val="22"/>
        </w:rPr>
        <w:t>The business shall offer a sufficient package of benefits to each full-time equivalent position included in the business’s base employment level and to each full-time equivalent position at the project location until the maintenance period completion date. The benefits package provided shall meet the criteria established by the board. The board will periodically approve such criteria to reflect the most current benefits package typically offered by employers. The criteria established by the board may include but not be limited to premium percentages to be paid by the business, deductible amounts, and other such criteria as determined necessary to the evaluation of benefits offered by a business.</w:t>
      </w:r>
    </w:p>
    <w:p>
      <w:pPr>
        <w:spacing w:before="0" w:after="0"/>
        <w:ind w:left="120"/>
        <w:jc w:val="both"/>
      </w:pPr>
      <w:r>
        <w:rPr>
          <w:rFonts w:ascii="Times New Roman" w:hAnsi="Times New Roman"/>
          <w:b/>
          <w:i w:val="false"/>
          <w:color w:val="000000"/>
          <w:sz w:val="22"/>
        </w:rPr>
        <w:t>68.2(6)</w:t>
      </w:r>
      <w:r>
        <w:rPr>
          <w:rFonts w:ascii="Times New Roman" w:hAnsi="Times New Roman"/>
          <w:b w:val="false"/>
          <w:i w:val="false"/>
          <w:color w:val="000000"/>
          <w:sz w:val="22"/>
        </w:rPr>
        <w:t> </w:t>
      </w:r>
      <w:r>
        <w:rPr>
          <w:rFonts w:ascii="Times New Roman" w:hAnsi="Times New Roman"/>
          <w:b w:val="false"/>
          <w:i/>
          <w:color w:val="000000"/>
          <w:sz w:val="22"/>
        </w:rPr>
        <w:t xml:space="preserve">Sufficient fiscal impact. </w:t>
      </w:r>
      <w:r>
        <w:rPr>
          <w:rFonts w:ascii="Times New Roman" w:hAnsi="Times New Roman"/>
          <w:b w:val="false"/>
          <w:i w:val="false"/>
          <w:color w:val="000000"/>
          <w:sz w:val="22"/>
        </w:rPr>
        <w:t xml:space="preserve">The business shall demonstrate a sufficient fiscal impact as described in Iowa Code section </w:t>
      </w:r>
      <w:hyperlink r:id="rId35">
        <w:r>
          <w:rPr>
            <w:rStyle w:val="Hyperlink"/>
            <w:rFonts w:ascii="Times New Roman" w:hAnsi="Times New Roman"/>
            <w:b w:val="false"/>
            <w:i w:val="false"/>
            <w:color w:val="000000"/>
            <w:sz w:val="22"/>
          </w:rPr>
          <w:t>15.329(1)</w:t>
        </w:r>
      </w:hyperlink>
      <w:r>
        <w:rPr>
          <w:rFonts w:ascii="Times New Roman" w:hAnsi="Times New Roman"/>
          <w:b w:val="false"/>
          <w:i/>
          <w:color w:val="000000"/>
          <w:sz w:val="22"/>
        </w:rPr>
        <w:t>“e.”</w:t>
      </w:r>
    </w:p>
    <w:p>
      <w:pPr>
        <w:spacing w:before="0" w:after="0"/>
        <w:ind w:left="120"/>
        <w:jc w:val="both"/>
      </w:pPr>
      <w:r>
        <w:rPr>
          <w:rFonts w:ascii="Times New Roman" w:hAnsi="Times New Roman"/>
          <w:b/>
          <w:i w:val="false"/>
          <w:color w:val="000000"/>
          <w:sz w:val="22"/>
        </w:rPr>
        <w:t>68.2(7)</w:t>
      </w:r>
      <w:r>
        <w:rPr>
          <w:rFonts w:ascii="Times New Roman" w:hAnsi="Times New Roman"/>
          <w:b w:val="false"/>
          <w:i w:val="false"/>
          <w:color w:val="000000"/>
          <w:sz w:val="22"/>
        </w:rPr>
        <w:t> </w:t>
      </w:r>
      <w:r>
        <w:rPr>
          <w:rFonts w:ascii="Times New Roman" w:hAnsi="Times New Roman"/>
          <w:b w:val="false"/>
          <w:i/>
          <w:color w:val="000000"/>
          <w:sz w:val="22"/>
        </w:rPr>
        <w:t xml:space="preserve">Violations of law. </w:t>
      </w:r>
      <w:r>
        <w:rPr>
          <w:rFonts w:ascii="Times New Roman" w:hAnsi="Times New Roman"/>
          <w:b w:val="false"/>
          <w:i w:val="false"/>
          <w:color w:val="000000"/>
          <w:sz w:val="22"/>
        </w:rPr>
        <w:t xml:space="preserve">If the authority finds that a business has a record of violations of law, including but not limited to environmental and worker safety laws, over a period of time that tends to show a consistent pattern as described in Iowa Code section </w:t>
      </w:r>
      <w:hyperlink r:id="rId36">
        <w:r>
          <w:rPr>
            <w:rStyle w:val="Hyperlink"/>
            <w:rFonts w:ascii="Times New Roman" w:hAnsi="Times New Roman"/>
            <w:b w:val="false"/>
            <w:i w:val="false"/>
            <w:color w:val="000000"/>
            <w:sz w:val="22"/>
          </w:rPr>
          <w:t>15.329(2)</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business shall not qualify for the program.</w:t>
      </w:r>
    </w:p>
    <w:p>
      <w:pPr>
        <w:spacing w:before="0" w:after="0"/>
        <w:ind w:left="120"/>
        <w:jc w:val="both"/>
      </w:pPr>
      <w:r>
        <w:rPr>
          <w:rFonts w:ascii="Times New Roman" w:hAnsi="Times New Roman"/>
          <w:b/>
          <w:i w:val="false"/>
          <w:color w:val="000000"/>
          <w:sz w:val="22"/>
        </w:rPr>
        <w:t>68.2(8)</w:t>
      </w:r>
      <w:r>
        <w:rPr>
          <w:rFonts w:ascii="Times New Roman" w:hAnsi="Times New Roman"/>
          <w:b w:val="false"/>
          <w:i w:val="false"/>
          <w:color w:val="000000"/>
          <w:sz w:val="22"/>
        </w:rPr>
        <w:t> </w:t>
      </w:r>
      <w:r>
        <w:rPr>
          <w:rFonts w:ascii="Times New Roman" w:hAnsi="Times New Roman"/>
          <w:b w:val="false"/>
          <w:i/>
          <w:color w:val="000000"/>
          <w:sz w:val="22"/>
        </w:rPr>
        <w:t xml:space="preserve">Applicant’s past or current performance. </w:t>
      </w:r>
      <w:r>
        <w:rPr>
          <w:rFonts w:ascii="Times New Roman" w:hAnsi="Times New Roman"/>
          <w:b w:val="false"/>
          <w:i w:val="false"/>
          <w:color w:val="000000"/>
          <w:sz w:val="22"/>
        </w:rPr>
        <w:t>If an applicant received a prior award or other benefit through any program administered by the authority, the authority and board will consider the applicant’s past or current performance under the prior award or benefit.</w:t>
      </w:r>
    </w:p>
    <w:p>
      <w:pPr>
        <w:spacing w:before="0" w:after="0"/>
        <w:ind w:left="120"/>
        <w:jc w:val="both"/>
      </w:pPr>
      <w:r>
        <w:rPr>
          <w:rFonts w:ascii="Times New Roman" w:hAnsi="Times New Roman"/>
          <w:b/>
          <w:i w:val="false"/>
          <w:color w:val="000000"/>
          <w:sz w:val="22"/>
        </w:rPr>
        <w:t>68.2(9)</w:t>
      </w:r>
      <w:r>
        <w:rPr>
          <w:rFonts w:ascii="Times New Roman" w:hAnsi="Times New Roman"/>
          <w:b w:val="false"/>
          <w:i w:val="false"/>
          <w:color w:val="000000"/>
          <w:sz w:val="22"/>
        </w:rPr>
        <w:t> </w:t>
      </w:r>
      <w:r>
        <w:rPr>
          <w:rFonts w:ascii="Times New Roman" w:hAnsi="Times New Roman"/>
          <w:b w:val="false"/>
          <w:i/>
          <w:color w:val="000000"/>
          <w:sz w:val="22"/>
        </w:rPr>
        <w:t xml:space="preserve">Results of due diligence review. </w:t>
      </w:r>
      <w:r>
        <w:rPr>
          <w:rFonts w:ascii="Times New Roman" w:hAnsi="Times New Roman"/>
          <w:b w:val="false"/>
          <w:i w:val="false"/>
          <w:color w:val="000000"/>
          <w:sz w:val="22"/>
        </w:rPr>
        <w:t xml:space="preserve">The authority will complete a due diligence review, including but not limited to lien searches, reports of violations, pending or resolved litigation, and other relevant information about the applicant. A business may be ineligible based on the results of the review. </w:t>
      </w:r>
    </w:p>
    <w:p>
      <w:pPr>
        <w:spacing w:before="0" w:after="0"/>
        <w:ind w:left="120"/>
        <w:jc w:val="both"/>
      </w:pPr>
      <w:r>
        <w:rPr>
          <w:rFonts w:ascii="Times New Roman" w:hAnsi="Times New Roman"/>
          <w:b/>
          <w:i w:val="false"/>
          <w:color w:val="000000"/>
          <w:sz w:val="22"/>
        </w:rPr>
        <w:t>68.2(10)</w:t>
      </w:r>
      <w:r>
        <w:rPr>
          <w:rFonts w:ascii="Times New Roman" w:hAnsi="Times New Roman"/>
          <w:b w:val="false"/>
          <w:i w:val="false"/>
          <w:color w:val="000000"/>
          <w:sz w:val="22"/>
        </w:rPr>
        <w:t> </w:t>
      </w:r>
      <w:r>
        <w:rPr>
          <w:rFonts w:ascii="Times New Roman" w:hAnsi="Times New Roman"/>
          <w:b w:val="false"/>
          <w:i/>
          <w:color w:val="000000"/>
          <w:sz w:val="22"/>
        </w:rPr>
        <w:t xml:space="preserve">Other factors. </w:t>
      </w:r>
      <w:r>
        <w:rPr>
          <w:rFonts w:ascii="Times New Roman" w:hAnsi="Times New Roman"/>
          <w:b w:val="false"/>
          <w:i w:val="false"/>
          <w:color w:val="000000"/>
          <w:sz w:val="22"/>
        </w:rPr>
        <w:t xml:space="preserve">The authority shall consider any applicable additional factors pursuant to Iowa Code section </w:t>
      </w:r>
      <w:hyperlink r:id="rId37">
        <w:r>
          <w:rPr>
            <w:rStyle w:val="Hyperlink"/>
            <w:rFonts w:ascii="Times New Roman" w:hAnsi="Times New Roman"/>
            <w:b w:val="false"/>
            <w:i w:val="false"/>
            <w:color w:val="000000"/>
            <w:sz w:val="22"/>
          </w:rPr>
          <w:t>15.329(3)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68.2(11)</w:t>
      </w:r>
      <w:r>
        <w:rPr>
          <w:rFonts w:ascii="Times New Roman" w:hAnsi="Times New Roman"/>
          <w:b w:val="false"/>
          <w:i w:val="false"/>
          <w:color w:val="000000"/>
          <w:sz w:val="22"/>
        </w:rPr>
        <w:t> </w:t>
      </w:r>
      <w:r>
        <w:rPr>
          <w:rFonts w:ascii="Times New Roman" w:hAnsi="Times New Roman"/>
          <w:b w:val="false"/>
          <w:i/>
          <w:color w:val="000000"/>
          <w:sz w:val="22"/>
        </w:rPr>
        <w:t xml:space="preserve">Ineligible projects.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a project is creating or retaining jobs, but none are high quality jobs, then the project is not eligible for the program.</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project representing solely acquisition of a business as a going concern that does not include creation or retention of jobs and capital investment at the acquired business facility is not eligible for the program. A qualified project that occurs following acquisition of a business as a going concern may be eligible for the program.</w:t>
      </w:r>
    </w:p>
    <w:p>
      <w:pPr>
        <w:spacing w:before="0" w:after="0"/>
        <w:ind w:left="120"/>
        <w:jc w:val="both"/>
      </w:pPr>
      <w:r>
        <w:rPr>
          <w:rFonts w:ascii="Times New Roman" w:hAnsi="Times New Roman"/>
          <w:b/>
          <w:i w:val="false"/>
          <w:color w:val="000000"/>
          <w:sz w:val="22"/>
        </w:rPr>
        <w:t>68.2(12)</w:t>
      </w:r>
      <w:r>
        <w:rPr>
          <w:rFonts w:ascii="Times New Roman" w:hAnsi="Times New Roman"/>
          <w:b w:val="false"/>
          <w:i w:val="false"/>
          <w:color w:val="000000"/>
          <w:sz w:val="22"/>
        </w:rPr>
        <w:t> </w:t>
      </w:r>
      <w:r>
        <w:rPr>
          <w:rFonts w:ascii="Times New Roman" w:hAnsi="Times New Roman"/>
          <w:b w:val="false"/>
          <w:i/>
          <w:color w:val="000000"/>
          <w:sz w:val="22"/>
        </w:rPr>
        <w:t xml:space="preserve">Project initiation. </w:t>
      </w:r>
      <w:r>
        <w:rPr>
          <w:rFonts w:ascii="Times New Roman" w:hAnsi="Times New Roman"/>
          <w:b w:val="false"/>
          <w:i w:val="false"/>
          <w:color w:val="000000"/>
          <w:sz w:val="22"/>
        </w:rPr>
        <w:t xml:space="preserve">The authority will not accept applications for projects that have been initiated or will be initiated prior to board consideration of the business’s application for the program unless the business establishes that not initiating the project prior to board consideration of the application would result in undue hardship or that extenuating circumstances necessitate initiating the project prior to board consideration of the business’s application for the program. Whether an undue hardship or extenuating circumstance exists will be determined by the authority.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one of the following may indicate that a project has been initiated:</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start of construction of new or expanded buildings;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start of rehabilitation of existing buildings;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purchase or leasing of existing buildings; or</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installation of new machinery and equipment or new computers to be used in the operation of the business’s project.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following shall not indicate a project has been initiated:</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purchase of land or signing an option to purchase land;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Earthmoving or other site development activities not involving actual building construction, expansion or rehabilitation; or</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Acquisition of a business as a going concern.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costs incurred prior to the award date are not eligible qualifying investment expenses.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261—68.3</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process and review. </w:t>
      </w:r>
    </w:p>
    <w:p>
      <w:pPr>
        <w:spacing w:before="0" w:after="0"/>
        <w:ind w:left="120"/>
        <w:jc w:val="both"/>
      </w:pPr>
      <w:r>
        <w:rPr>
          <w:rFonts w:ascii="Times New Roman" w:hAnsi="Times New Roman"/>
          <w:b/>
          <w:i w:val="false"/>
          <w:color w:val="000000"/>
          <w:sz w:val="22"/>
        </w:rPr>
        <w:t>68.3(1)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Businesses applying for the program shall utilize a standardized application developed by the authority. A signature from an official authorized to represent the affected local community is required to indicate that the community supports the project. For a project with a qualifying investment of $10 million or more, the application shall include an ordinance or resolution of the community’s governing body approving the project.</w:t>
      </w:r>
    </w:p>
    <w:p>
      <w:pPr>
        <w:spacing w:before="0" w:after="0"/>
        <w:ind w:left="120"/>
        <w:jc w:val="both"/>
      </w:pPr>
      <w:r>
        <w:rPr>
          <w:rFonts w:ascii="Times New Roman" w:hAnsi="Times New Roman"/>
          <w:b/>
          <w:i w:val="false"/>
          <w:color w:val="000000"/>
          <w:sz w:val="22"/>
        </w:rPr>
        <w:t>68.3(2)</w:t>
      </w:r>
      <w:r>
        <w:rPr>
          <w:rFonts w:ascii="Times New Roman" w:hAnsi="Times New Roman"/>
          <w:b w:val="false"/>
          <w:i w:val="false"/>
          <w:color w:val="000000"/>
          <w:sz w:val="22"/>
        </w:rPr>
        <w:t> </w:t>
      </w:r>
      <w:r>
        <w:rPr>
          <w:rFonts w:ascii="Times New Roman" w:hAnsi="Times New Roman"/>
          <w:b w:val="false"/>
          <w:i/>
          <w:color w:val="000000"/>
          <w:sz w:val="22"/>
        </w:rPr>
        <w:t xml:space="preserve">Applicability of wage requirements. </w:t>
      </w:r>
      <w:r>
        <w:rPr>
          <w:rFonts w:ascii="Times New Roman" w:hAnsi="Times New Roman"/>
          <w:b w:val="false"/>
          <w:i w:val="false"/>
          <w:color w:val="000000"/>
          <w:sz w:val="22"/>
        </w:rPr>
        <w:t xml:space="preserve">The qualifying wage threshold applicable to a project is the threshold in effect on the date the fully completed project application is received by the authority. If such an application is received but not acted upon by the board before the qualifying wage thresholds are updated, the thresholds in effect on the date the application was received will remain in effect for a period of three months after the month the thresholds were updated. The authority shall have sole discretion to determine whether an application is fully completed. Qualifying wage thresholds will be calculated and applied as described in rule </w:t>
      </w:r>
      <w:hyperlink r:id="rId38">
        <w:r>
          <w:rPr>
            <w:rStyle w:val="Hyperlink"/>
            <w:rFonts w:ascii="Times New Roman" w:hAnsi="Times New Roman"/>
            <w:b w:val="false"/>
            <w:i w:val="false"/>
            <w:color w:val="000000"/>
            <w:sz w:val="22"/>
          </w:rPr>
          <w:t>261—68.8</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i w:val="false"/>
          <w:color w:val="000000"/>
          <w:sz w:val="22"/>
        </w:rPr>
        <w:t>68.3(3)</w:t>
      </w:r>
      <w:r>
        <w:rPr>
          <w:rFonts w:ascii="Times New Roman" w:hAnsi="Times New Roman"/>
          <w:b w:val="false"/>
          <w:i w:val="false"/>
          <w:color w:val="000000"/>
          <w:sz w:val="22"/>
        </w:rPr>
        <w:t> </w:t>
      </w:r>
      <w:r>
        <w:rPr>
          <w:rFonts w:ascii="Times New Roman" w:hAnsi="Times New Roman"/>
          <w:b w:val="false"/>
          <w:i/>
          <w:color w:val="000000"/>
          <w:sz w:val="22"/>
        </w:rPr>
        <w:t xml:space="preserve">Job requirements. </w:t>
      </w:r>
      <w:r>
        <w:rPr>
          <w:rFonts w:ascii="Times New Roman" w:hAnsi="Times New Roman"/>
          <w:b w:val="false"/>
          <w:i w:val="false"/>
          <w:color w:val="000000"/>
          <w:sz w:val="22"/>
        </w:rPr>
        <w:t xml:space="preserve">The created job and retained job requirements applicable to a project, identified as described in rule </w:t>
      </w:r>
      <w:hyperlink r:id="rId39">
        <w:r>
          <w:rPr>
            <w:rStyle w:val="Hyperlink"/>
            <w:rFonts w:ascii="Times New Roman" w:hAnsi="Times New Roman"/>
            <w:b w:val="false"/>
            <w:i w:val="false"/>
            <w:color w:val="000000"/>
            <w:sz w:val="22"/>
          </w:rPr>
          <w:t>261—68.7</w:t>
        </w:r>
      </w:hyperlink>
      <w:r>
        <w:rPr>
          <w:rFonts w:ascii="Times New Roman" w:hAnsi="Times New Roman"/>
          <w:b w:val="false"/>
          <w:i w:val="false"/>
          <w:color w:val="000000"/>
          <w:sz w:val="22"/>
        </w:rPr>
        <w:t>(15), will be established at the time of application. Job requirements will be based on the base employment level as of the date the application was fully completed and submitted to the authority and eligible business’s job projections and will be utilized to determine the amount of tax incentives and assistance.</w:t>
      </w:r>
    </w:p>
    <w:p>
      <w:pPr>
        <w:spacing w:before="0" w:after="0"/>
        <w:ind w:left="120"/>
        <w:jc w:val="both"/>
      </w:pPr>
      <w:r>
        <w:rPr>
          <w:rFonts w:ascii="Times New Roman" w:hAnsi="Times New Roman"/>
          <w:b/>
          <w:i w:val="false"/>
          <w:color w:val="000000"/>
          <w:sz w:val="22"/>
        </w:rPr>
        <w:t>68.3(4)</w:t>
      </w:r>
      <w:r>
        <w:rPr>
          <w:rFonts w:ascii="Times New Roman" w:hAnsi="Times New Roman"/>
          <w:b w:val="false"/>
          <w:i w:val="false"/>
          <w:color w:val="000000"/>
          <w:sz w:val="22"/>
        </w:rPr>
        <w:t> </w:t>
      </w:r>
      <w:r>
        <w:rPr>
          <w:rFonts w:ascii="Times New Roman" w:hAnsi="Times New Roman"/>
          <w:b w:val="false"/>
          <w:i/>
          <w:color w:val="000000"/>
          <w:sz w:val="22"/>
        </w:rPr>
        <w:t xml:space="preserve">Investment requirements. </w:t>
      </w:r>
      <w:r>
        <w:rPr>
          <w:rFonts w:ascii="Times New Roman" w:hAnsi="Times New Roman"/>
          <w:b w:val="false"/>
          <w:i w:val="false"/>
          <w:color w:val="000000"/>
          <w:sz w:val="22"/>
        </w:rPr>
        <w:t xml:space="preserve">The investment requirements applicable to a project, identified as described in rule </w:t>
      </w:r>
      <w:hyperlink r:id="rId40">
        <w:r>
          <w:rPr>
            <w:rStyle w:val="Hyperlink"/>
            <w:rFonts w:ascii="Times New Roman" w:hAnsi="Times New Roman"/>
            <w:b w:val="false"/>
            <w:i w:val="false"/>
            <w:color w:val="000000"/>
            <w:sz w:val="22"/>
          </w:rPr>
          <w:t>261—68.9</w:t>
        </w:r>
      </w:hyperlink>
      <w:r>
        <w:rPr>
          <w:rFonts w:ascii="Times New Roman" w:hAnsi="Times New Roman"/>
          <w:b w:val="false"/>
          <w:i w:val="false"/>
          <w:color w:val="000000"/>
          <w:sz w:val="22"/>
        </w:rPr>
        <w:t>(15), will be established at the time of application. Investment requirements are based on an eligible business’s estimates of project costs and will be utilized to determine the amount of tax incentives and assistance.</w:t>
      </w:r>
    </w:p>
    <w:p>
      <w:pPr>
        <w:spacing w:before="0" w:after="0"/>
        <w:ind w:left="120"/>
        <w:jc w:val="both"/>
      </w:pPr>
      <w:r>
        <w:rPr>
          <w:rFonts w:ascii="Times New Roman" w:hAnsi="Times New Roman"/>
          <w:b/>
          <w:i w:val="false"/>
          <w:color w:val="000000"/>
          <w:sz w:val="22"/>
        </w:rPr>
        <w:t>68.3(5)</w:t>
      </w:r>
      <w:r>
        <w:rPr>
          <w:rFonts w:ascii="Times New Roman" w:hAnsi="Times New Roman"/>
          <w:b w:val="false"/>
          <w:i w:val="false"/>
          <w:color w:val="000000"/>
          <w:sz w:val="22"/>
        </w:rPr>
        <w:t> </w:t>
      </w:r>
      <w:r>
        <w:rPr>
          <w:rFonts w:ascii="Times New Roman" w:hAnsi="Times New Roman"/>
          <w:b w:val="false"/>
          <w:i/>
          <w:color w:val="000000"/>
          <w:sz w:val="22"/>
        </w:rPr>
        <w:t xml:space="preserve">Negotiations. </w:t>
      </w:r>
      <w:r>
        <w:rPr>
          <w:rFonts w:ascii="Times New Roman" w:hAnsi="Times New Roman"/>
          <w:b w:val="false"/>
          <w:i w:val="false"/>
          <w:color w:val="000000"/>
          <w:sz w:val="22"/>
        </w:rPr>
        <w:t>Authority staff may negotiate with the applicant concerning dollar amounts, terms, collateral, conditions of award, or any other elements of the proposed award. All forms of tax incentives and assistance available under the program are subject to negotiations. The authority shall consider all of the following factors in negotiating with the business: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Level of need. </w:t>
      </w:r>
      <w:r>
        <w:rPr>
          <w:rFonts w:ascii="Times New Roman" w:hAnsi="Times New Roman"/>
          <w:b w:val="false"/>
          <w:i w:val="false"/>
          <w:color w:val="000000"/>
          <w:sz w:val="22"/>
        </w:rPr>
        <w:t>The following factors will determine the authority’s assessment of need:</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the business can raise only a portion of the debt and equity necessary to complete the project. The existence of a gap between the financing required and the committed financing indicates that tax incentives or assistance may be needed to fill the gap.</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the likely returns of the project are inadequate to motivate a company decision maker to proceed with the project even if sufficient debt or equity can be raised to finance the project. The existence of such a condition indicates that the project’s risks may outweigh its rewards and that tax incentives or assistance may be needed to reduce the project’s risks.</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the business is deciding between an Iowa site and a site in another state for its project and the cost of completing the project at the out-of-state site is demonstrably lower. Such a condition indicates that tax incentives or assistance may be needed to equalize the cost differential between the two sites. The authority will attempt to quantify the cost differential between the sites.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Quality of the jobs. </w:t>
      </w:r>
      <w:r>
        <w:rPr>
          <w:rFonts w:ascii="Times New Roman" w:hAnsi="Times New Roman"/>
          <w:b w:val="false"/>
          <w:i w:val="false"/>
          <w:color w:val="000000"/>
          <w:sz w:val="22"/>
        </w:rPr>
        <w:t xml:space="preserve">The authority shall place greater emphasis on projects involving created or retained jobs rated as higher quality jobs pursuant to the factors listed in Iowa Code section </w:t>
      </w:r>
      <w:hyperlink r:id="rId41">
        <w:r>
          <w:rPr>
            <w:rStyle w:val="Hyperlink"/>
            <w:rFonts w:ascii="Times New Roman" w:hAnsi="Times New Roman"/>
            <w:b w:val="false"/>
            <w:i w:val="false"/>
            <w:color w:val="000000"/>
            <w:sz w:val="22"/>
          </w:rPr>
          <w:t>15.329(3)</w:t>
        </w:r>
      </w:hyperlink>
      <w:r>
        <w:rPr>
          <w:rFonts w:ascii="Times New Roman" w:hAnsi="Times New Roman"/>
          <w:b w:val="false"/>
          <w:i/>
          <w:color w:val="000000"/>
          <w:sz w:val="22"/>
        </w:rPr>
        <w:t>“a.”</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Percentage of created jobs defined as high quality jobs. </w:t>
      </w:r>
      <w:r>
        <w:rPr>
          <w:rFonts w:ascii="Times New Roman" w:hAnsi="Times New Roman"/>
          <w:b w:val="false"/>
          <w:i w:val="false"/>
          <w:color w:val="000000"/>
          <w:sz w:val="22"/>
        </w:rPr>
        <w:t>The authority will consider the number of high quality jobs to be created in proportion to the total number of created jobs in determining what amount of tax incentives and assistance to offer the business.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Economic impact. </w:t>
      </w:r>
      <w:r>
        <w:rPr>
          <w:rFonts w:ascii="Times New Roman" w:hAnsi="Times New Roman"/>
          <w:b w:val="false"/>
          <w:i w:val="false"/>
          <w:color w:val="000000"/>
          <w:sz w:val="22"/>
        </w:rPr>
        <w:t xml:space="preserve">In measuring the economic impact to this state, the authority shall place greater emphasis on projects that demonstrate the factors listed in Iowa Code section </w:t>
      </w:r>
      <w:hyperlink r:id="rId42">
        <w:r>
          <w:rPr>
            <w:rStyle w:val="Hyperlink"/>
            <w:rFonts w:ascii="Times New Roman" w:hAnsi="Times New Roman"/>
            <w:b w:val="false"/>
            <w:i w:val="false"/>
            <w:color w:val="000000"/>
            <w:sz w:val="22"/>
          </w:rPr>
          <w:t>15.329(3)</w:t>
        </w:r>
      </w:hyperlink>
      <w:r>
        <w:rPr>
          <w:rFonts w:ascii="Times New Roman" w:hAnsi="Times New Roman"/>
          <w:b w:val="false"/>
          <w:i/>
          <w:color w:val="000000"/>
          <w:sz w:val="22"/>
        </w:rPr>
        <w:t>“c.”</w:t>
      </w:r>
    </w:p>
    <w:p>
      <w:pPr>
        <w:spacing w:before="0" w:after="0"/>
        <w:ind w:left="120"/>
        <w:jc w:val="both"/>
      </w:pPr>
      <w:r>
        <w:rPr>
          <w:rFonts w:ascii="Times New Roman" w:hAnsi="Times New Roman"/>
          <w:b/>
          <w:i w:val="false"/>
          <w:color w:val="000000"/>
          <w:sz w:val="22"/>
        </w:rPr>
        <w:t>68.3(6)</w:t>
      </w:r>
      <w:r>
        <w:rPr>
          <w:rFonts w:ascii="Times New Roman" w:hAnsi="Times New Roman"/>
          <w:b w:val="false"/>
          <w:i w:val="false"/>
          <w:color w:val="000000"/>
          <w:sz w:val="22"/>
        </w:rPr>
        <w:t> </w:t>
      </w:r>
      <w:r>
        <w:rPr>
          <w:rFonts w:ascii="Times New Roman" w:hAnsi="Times New Roman"/>
          <w:b w:val="false"/>
          <w:i/>
          <w:color w:val="000000"/>
          <w:sz w:val="22"/>
        </w:rPr>
        <w:t xml:space="preserve">Board approval and notice.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Authority staff will review applications to ensure program eligibility requirements are satisfied. Authority staff may request additional information from the business or may use other resources to obtain the needed information.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Complete and eligible applications and supporting documentation will be submitted to the board for its consideration. Authority staff will generate and submit to the board a report that summarizes the project and provide a recommendation on the amount of tax incentives and assistance to be offered to the business. Staff may provide to the board additional information or documentation as determined by staff. The board may offer an award in a lesser amount or that is structured in a manner different from that requested or recommended by authority staff. Meeting eligibility requirements does not guarantee that assistance will be offered or provided in the manner sought by the applicant.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due diligence committee of the board established pursuant to </w:t>
      </w:r>
      <w:hyperlink r:id="rId43">
        <w:r>
          <w:rPr>
            <w:rStyle w:val="Hyperlink"/>
            <w:rFonts w:ascii="Times New Roman" w:hAnsi="Times New Roman"/>
            <w:b w:val="false"/>
            <w:i w:val="false"/>
            <w:color w:val="000000"/>
            <w:sz w:val="22"/>
          </w:rPr>
          <w:t>261—subrule 1.3(7)</w:t>
        </w:r>
      </w:hyperlink>
      <w:r>
        <w:rPr>
          <w:rFonts w:ascii="Times New Roman" w:hAnsi="Times New Roman"/>
          <w:b w:val="false"/>
          <w:i w:val="false"/>
          <w:color w:val="000000"/>
          <w:sz w:val="22"/>
        </w:rPr>
        <w:t xml:space="preserve"> will review applications and make recommendations regarding the size and conditions of awards. The board may accept or reject recommendations from the due diligence committee. </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board approves an award, an applicant will be notified in writing, including any conditions and terms of the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261—68.4</w:t>
      </w:r>
      <w:r>
        <w:rPr>
          <w:rFonts w:ascii="Times New Roman" w:hAnsi="Times New Roman"/>
          <w:b/>
          <w:i w:val="false"/>
          <w:color w:val="000000"/>
          <w:sz w:val="22"/>
        </w:rPr>
        <w:t xml:space="preserve">(15) </w:t>
      </w:r>
      <w:r>
        <w:rPr>
          <w:rFonts w:ascii="Times New Roman" w:hAnsi="Times New Roman"/>
          <w:b/>
          <w:i w:val="false"/>
          <w:color w:val="000000"/>
          <w:sz w:val="22"/>
        </w:rPr>
        <w:t xml:space="preserve">Tax incentives. </w:t>
      </w:r>
      <w:r>
        <w:rPr>
          <w:rFonts w:ascii="Times New Roman" w:hAnsi="Times New Roman"/>
          <w:b w:val="false"/>
          <w:i w:val="false"/>
          <w:color w:val="000000"/>
          <w:sz w:val="22"/>
        </w:rPr>
        <w:t xml:space="preserve">The authority may approve a business to receive any combination of applicable tax incentives allowed through the program pursuant to Iowa Code section </w:t>
      </w:r>
      <w:hyperlink r:id="rId44">
        <w:r>
          <w:rPr>
            <w:rStyle w:val="Hyperlink"/>
            <w:rFonts w:ascii="Times New Roman" w:hAnsi="Times New Roman"/>
            <w:b w:val="false"/>
            <w:i w:val="false"/>
            <w:color w:val="000000"/>
            <w:sz w:val="22"/>
          </w:rPr>
          <w:t>15.331A</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15.331C</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15.332</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15.333A</w:t>
        </w:r>
      </w:hyperlink>
      <w:r>
        <w:rPr>
          <w:rFonts w:ascii="Times New Roman" w:hAnsi="Times New Roman"/>
          <w:b w:val="false"/>
          <w:i w:val="false"/>
          <w:color w:val="000000"/>
          <w:sz w:val="22"/>
        </w:rPr>
        <w:t xml:space="preserve">, or </w:t>
      </w:r>
      <w:hyperlink r:id="rId49">
        <w:r>
          <w:rPr>
            <w:rStyle w:val="Hyperlink"/>
            <w:rFonts w:ascii="Times New Roman" w:hAnsi="Times New Roman"/>
            <w:b w:val="false"/>
            <w:i w:val="false"/>
            <w:color w:val="000000"/>
            <w:sz w:val="22"/>
          </w:rPr>
          <w:t>15.335</w:t>
        </w:r>
      </w:hyperlink>
      <w:r>
        <w:rPr>
          <w:rFonts w:ascii="Times New Roman" w:hAnsi="Times New Roman"/>
          <w:b w:val="false"/>
          <w:i w:val="false"/>
          <w:color w:val="000000"/>
          <w:sz w:val="22"/>
        </w:rPr>
        <w:t xml:space="preserve">. An approved business shall not claim a tax incentive in excess of the amount specified in an agreement entered into pursuant to Iowa Code section </w:t>
      </w:r>
      <w:hyperlink r:id="rId50">
        <w:r>
          <w:rPr>
            <w:rStyle w:val="Hyperlink"/>
            <w:rFonts w:ascii="Times New Roman" w:hAnsi="Times New Roman"/>
            <w:b w:val="false"/>
            <w:i w:val="false"/>
            <w:color w:val="000000"/>
            <w:sz w:val="22"/>
          </w:rPr>
          <w:t>15.330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68.4(1)</w:t>
      </w:r>
      <w:r>
        <w:rPr>
          <w:rFonts w:ascii="Times New Roman" w:hAnsi="Times New Roman"/>
          <w:b w:val="false"/>
          <w:i w:val="false"/>
          <w:color w:val="000000"/>
          <w:sz w:val="22"/>
        </w:rPr>
        <w:t> </w:t>
      </w:r>
      <w:r>
        <w:rPr>
          <w:rFonts w:ascii="Times New Roman" w:hAnsi="Times New Roman"/>
          <w:b w:val="false"/>
          <w:i/>
          <w:color w:val="000000"/>
          <w:sz w:val="22"/>
        </w:rPr>
        <w:t xml:space="preserve">Sales and use tax refund or tax credit for racks, shelving, and conveyor equipment. </w:t>
      </w:r>
      <w:r>
        <w:rPr>
          <w:rFonts w:ascii="Times New Roman" w:hAnsi="Times New Roman"/>
          <w:b w:val="false"/>
          <w:i w:val="false"/>
          <w:color w:val="000000"/>
          <w:sz w:val="22"/>
        </w:rPr>
        <w:t xml:space="preserve">A business approved to receive a refund of sales and use taxes attributable to racks, shelving, and conveyor equipment in one fiscal year shall not be considered for an additional award of a refund of sales and use taxes attributable to racks, shelving, and conveyor equipment in a succeeding fiscal year. No business shall receive more than $500,000 in refunds pursuant to this subrule. The limitations in this subrule also apply to an approved business that receives tax credit up to the amount of sales and use taxes paid by a third-party developer and attributable to racks, shelving, and conveyor equipment pursuant to Iowa Code section </w:t>
      </w:r>
      <w:hyperlink r:id="rId51">
        <w:r>
          <w:rPr>
            <w:rStyle w:val="Hyperlink"/>
            <w:rFonts w:ascii="Times New Roman" w:hAnsi="Times New Roman"/>
            <w:b w:val="false"/>
            <w:i w:val="false"/>
            <w:color w:val="000000"/>
            <w:sz w:val="22"/>
          </w:rPr>
          <w:t>15.331C</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68.4(2)</w:t>
      </w:r>
      <w:r>
        <w:rPr>
          <w:rFonts w:ascii="Times New Roman" w:hAnsi="Times New Roman"/>
          <w:b w:val="false"/>
          <w:i w:val="false"/>
          <w:color w:val="000000"/>
          <w:sz w:val="22"/>
        </w:rPr>
        <w:t> </w:t>
      </w:r>
      <w:r>
        <w:rPr>
          <w:rFonts w:ascii="Times New Roman" w:hAnsi="Times New Roman"/>
          <w:b w:val="false"/>
          <w:i/>
          <w:color w:val="000000"/>
          <w:sz w:val="22"/>
        </w:rPr>
        <w:t xml:space="preserve">Value-added property tax exemption. </w:t>
      </w:r>
      <w:r>
        <w:rPr>
          <w:rFonts w:ascii="Times New Roman" w:hAnsi="Times New Roman"/>
          <w:b w:val="false"/>
          <w:i w:val="false"/>
          <w:color w:val="000000"/>
          <w:sz w:val="22"/>
        </w:rPr>
        <w:t xml:space="preserve">If a community approves an exemption from taxation pursuant to Iowa Code section </w:t>
      </w:r>
      <w:hyperlink r:id="rId52">
        <w:r>
          <w:rPr>
            <w:rStyle w:val="Hyperlink"/>
            <w:rFonts w:ascii="Times New Roman" w:hAnsi="Times New Roman"/>
            <w:b w:val="false"/>
            <w:i w:val="false"/>
            <w:color w:val="000000"/>
            <w:sz w:val="22"/>
          </w:rPr>
          <w:t>15.332</w:t>
        </w:r>
      </w:hyperlink>
      <w:r>
        <w:rPr>
          <w:rFonts w:ascii="Times New Roman" w:hAnsi="Times New Roman"/>
          <w:b w:val="false"/>
          <w:i w:val="false"/>
          <w:color w:val="000000"/>
          <w:sz w:val="22"/>
        </w:rPr>
        <w:t>, the community shall provide the authority and the local assessor with a copy of the resolution adopted by the community’s governing body that indicates the estimated value and duration of the authorized exemption.</w:t>
      </w:r>
    </w:p>
    <w:p>
      <w:pPr>
        <w:spacing w:before="0" w:after="0"/>
        <w:ind w:left="120"/>
        <w:jc w:val="both"/>
      </w:pPr>
      <w:r>
        <w:rPr>
          <w:rFonts w:ascii="Times New Roman" w:hAnsi="Times New Roman"/>
          <w:b/>
          <w:i w:val="false"/>
          <w:color w:val="000000"/>
          <w:sz w:val="22"/>
        </w:rPr>
        <w:t>68.4(3)</w:t>
      </w:r>
      <w:r>
        <w:rPr>
          <w:rFonts w:ascii="Times New Roman" w:hAnsi="Times New Roman"/>
          <w:b w:val="false"/>
          <w:i w:val="false"/>
          <w:color w:val="000000"/>
          <w:sz w:val="22"/>
        </w:rPr>
        <w:t> </w:t>
      </w:r>
      <w:r>
        <w:rPr>
          <w:rFonts w:ascii="Times New Roman" w:hAnsi="Times New Roman"/>
          <w:b w:val="false"/>
          <w:i/>
          <w:color w:val="000000"/>
          <w:sz w:val="22"/>
        </w:rPr>
        <w:t xml:space="preserve">Investment tax credit—treatment of rent. </w:t>
      </w:r>
      <w:r>
        <w:rPr>
          <w:rFonts w:ascii="Times New Roman" w:hAnsi="Times New Roman"/>
          <w:b w:val="false"/>
          <w:i w:val="false"/>
          <w:color w:val="000000"/>
          <w:sz w:val="22"/>
        </w:rPr>
        <w:t xml:space="preserve">The annual base rent paid to a third-party developer by an approved business may be considered new investment for the purpose of an investment tax credit approved pursuant to Iowa Code section </w:t>
      </w:r>
      <w:hyperlink r:id="rId53">
        <w:r>
          <w:rPr>
            <w:rStyle w:val="Hyperlink"/>
            <w:rFonts w:ascii="Times New Roman" w:hAnsi="Times New Roman"/>
            <w:b w:val="false"/>
            <w:i w:val="false"/>
            <w:color w:val="000000"/>
            <w:sz w:val="22"/>
          </w:rPr>
          <w:t>15.333</w:t>
        </w:r>
      </w:hyperlink>
      <w:r>
        <w:rPr>
          <w:rFonts w:ascii="Times New Roman" w:hAnsi="Times New Roman"/>
          <w:b w:val="false"/>
          <w:i w:val="false"/>
          <w:color w:val="000000"/>
          <w:sz w:val="22"/>
        </w:rPr>
        <w:t xml:space="preserve"> or an insurance premium tax credit approved pursuant to Iowa Code section </w:t>
      </w:r>
      <w:hyperlink r:id="rId54">
        <w:r>
          <w:rPr>
            <w:rStyle w:val="Hyperlink"/>
            <w:rFonts w:ascii="Times New Roman" w:hAnsi="Times New Roman"/>
            <w:b w:val="false"/>
            <w:i w:val="false"/>
            <w:color w:val="000000"/>
            <w:sz w:val="22"/>
          </w:rPr>
          <w:t>15.333A</w:t>
        </w:r>
      </w:hyperlink>
      <w:r>
        <w:rPr>
          <w:rFonts w:ascii="Times New Roman" w:hAnsi="Times New Roman"/>
          <w:b w:val="false"/>
          <w:i w:val="false"/>
          <w:color w:val="000000"/>
          <w:sz w:val="22"/>
        </w:rPr>
        <w:t>. Annual base rent may be included as new investment for a period equal to the term of the lease agreement but not to exceed the maximum term specified in a contract entered into with the authority. Annual base rent shall be considered only when the project includes the construction of a new building or the major renovation of an existing building. The approved business shall enter into a lease agreement with the third-party developer for a minimum of five years. For the purposes of this subrule, “annual base rent” means the business’s annual lease payment minus taxes, insurance and operating or maintenance expenses.</w:t>
      </w:r>
    </w:p>
    <w:p>
      <w:pPr>
        <w:spacing w:before="0" w:after="0"/>
        <w:ind w:left="120"/>
        <w:jc w:val="both"/>
      </w:pPr>
      <w:r>
        <w:rPr>
          <w:rFonts w:ascii="Times New Roman" w:hAnsi="Times New Roman"/>
          <w:b/>
          <w:i w:val="false"/>
          <w:color w:val="000000"/>
          <w:sz w:val="22"/>
        </w:rPr>
        <w:t>68.4(4)</w:t>
      </w:r>
      <w:r>
        <w:rPr>
          <w:rFonts w:ascii="Times New Roman" w:hAnsi="Times New Roman"/>
          <w:b w:val="false"/>
          <w:i w:val="false"/>
          <w:color w:val="000000"/>
          <w:sz w:val="22"/>
        </w:rPr>
        <w:t> </w:t>
      </w:r>
      <w:r>
        <w:rPr>
          <w:rFonts w:ascii="Times New Roman" w:hAnsi="Times New Roman"/>
          <w:b w:val="false"/>
          <w:i/>
          <w:color w:val="000000"/>
          <w:sz w:val="22"/>
        </w:rPr>
        <w:t xml:space="preserve">Maximum tax incentives available. </w:t>
      </w:r>
      <w:r>
        <w:rPr>
          <w:rFonts w:ascii="Times New Roman" w:hAnsi="Times New Roman"/>
          <w:b w:val="false"/>
          <w:i w:val="false"/>
          <w:color w:val="000000"/>
          <w:sz w:val="22"/>
        </w:rPr>
        <w:t xml:space="preserve">Tax incentives awarded under this program are based upon the number of jobs created or retained that pay the applicable wages as established in Iowa Code section </w:t>
      </w:r>
      <w:hyperlink r:id="rId55">
        <w:r>
          <w:rPr>
            <w:rStyle w:val="Hyperlink"/>
            <w:rFonts w:ascii="Times New Roman" w:hAnsi="Times New Roman"/>
            <w:b w:val="false"/>
            <w:i w:val="false"/>
            <w:color w:val="000000"/>
            <w:sz w:val="22"/>
          </w:rPr>
          <w:t>15.329(1)</w:t>
        </w:r>
      </w:hyperlink>
      <w:r>
        <w:rPr>
          <w:rFonts w:ascii="Times New Roman" w:hAnsi="Times New Roman"/>
          <w:b w:val="false"/>
          <w:i/>
          <w:color w:val="000000"/>
          <w:sz w:val="22"/>
        </w:rPr>
        <w:t>“c”</w:t>
      </w:r>
      <w:r>
        <w:rPr>
          <w:rFonts w:ascii="Times New Roman" w:hAnsi="Times New Roman"/>
          <w:b w:val="false"/>
          <w:i w:val="false"/>
          <w:color w:val="000000"/>
          <w:sz w:val="22"/>
        </w:rPr>
        <w:t xml:space="preserve"> or </w:t>
      </w:r>
      <w:hyperlink r:id="rId56">
        <w:r>
          <w:rPr>
            <w:rStyle w:val="Hyperlink"/>
            <w:rFonts w:ascii="Times New Roman" w:hAnsi="Times New Roman"/>
            <w:b w:val="false"/>
            <w:i w:val="false"/>
            <w:color w:val="000000"/>
            <w:sz w:val="22"/>
          </w:rPr>
          <w:t>15.335C</w:t>
        </w:r>
      </w:hyperlink>
      <w:r>
        <w:rPr>
          <w:rFonts w:ascii="Times New Roman" w:hAnsi="Times New Roman"/>
          <w:b w:val="false"/>
          <w:i w:val="false"/>
          <w:color w:val="000000"/>
          <w:sz w:val="22"/>
        </w:rPr>
        <w:t xml:space="preserve"> and the amount of qualifying investment. The amount of tax incentives is subject to negotiations based on the factors identified in subrule </w:t>
      </w:r>
      <w:hyperlink r:id="rId57">
        <w:r>
          <w:rPr>
            <w:rStyle w:val="Hyperlink"/>
            <w:rFonts w:ascii="Times New Roman" w:hAnsi="Times New Roman"/>
            <w:b w:val="false"/>
            <w:i w:val="false"/>
            <w:color w:val="000000"/>
            <w:sz w:val="22"/>
          </w:rPr>
          <w:t>68.3(5)</w:t>
        </w:r>
      </w:hyperlink>
      <w:r>
        <w:rPr>
          <w:rFonts w:ascii="Times New Roman" w:hAnsi="Times New Roman"/>
          <w:b w:val="false"/>
          <w:i w:val="false"/>
          <w:color w:val="000000"/>
          <w:sz w:val="22"/>
        </w:rPr>
        <w:t>. The maximum possible award is based on the following schedule: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business is required to maintain the base employment level, but no high quality jobs are created or retained and economic activity is furthered by the qualifying investment. For purposes of this paragraph, “economic activity” means a modernization project that will result in increased skills and wages for the current employees.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Less than $100,000 in qualifying investment. Investment tax credit or insurance premium tax credit of up to 1 percent.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$100,000 to $499,999 in qualifying investment.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Investment tax credit or insurance premium tax credit of up to 1 percent.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Sales and use tax refund or third-party developer tax credit, or both, if applicable.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$500,000 or more in qualifying investment.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Investment tax credit or insurance premium tax credit of up to 1 percent.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Sales and use tax refund or third-party developer tax credit, or both, if applicable.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Research activities credit.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One to five high quality jobs are created or retained.</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Less than $100,000 in qualifying investment. Investment tax credit or insurance premium tax credit of up to 2 percent.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$100,000 to $499,999 in qualifying investment.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Investment tax credit or insurance premium tax credit of up to 2 percent.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Sales and use tax refund or third-party developer tax credit, or both, if applicable.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$500,000 or more in qualifying investment.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Investment tax credit or insurance premium tax credit of up to 2 percent.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Sales and use tax refund or third-party developer tax credit, or both, if applicable.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Research activities credit.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Six to ten high quality jobs are created or retained.</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Less than $100,000 in qualifying investment. Investment tax credit or insurance premium tax credit of up to 3 percent.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$100,000 to $499,999 in qualifying investment.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Investment tax credit or insurance premium tax credit of up to 3 percent.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Sales and use tax refund or third-party developer tax credit, or both, if applicable.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$500,000 or more in qualifying investment.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Investment tax credit or insurance premium tax credit of up to 3 percent.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Sales and use tax refund or third-party developer tax credit, or both, if applicable.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Research activities credit.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11 to 15 high quality jobs are created or retained.</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Less than $100,000 in qualifying investment. Investment tax credit or insurance premium tax credit of up to 4 percent.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$100,000 to $499,999 in qualifying investment.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Investment tax credit or insurance premium tax credit of up to 4 percent.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Sales and use tax refund or third-party developer tax credit, or both, if applicable.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$500,000 or more in qualifying investment.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Investment tax credit or insurance premium tax credit of up to 4 percent.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Sales and use tax refund or third-party developer tax credit, or both, if applicable.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Research activities credit.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16 to 30 high quality jobs are created or retained.</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Less than $100,000 in qualifying investment. Investment tax credit or insurance premium tax credit of up to 5 percent.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$100,000 to $499,999 in qualifying investment.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Investment tax credit or insurance premium tax credit of up to 5 percent.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Sales and use tax refund or third-party developer tax credit, or both, if applicable.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$500,000 or more in qualifying investment.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Investment tax credit or insurance premium tax credit of up to 4 percent.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Sales and use tax refund or third-party developer tax credit, or both, if applicable.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Research activities credit.</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31 to 40 high quality jobs are created or retained.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$10 million or more in qualifying investment.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Investment tax credit or insurance premium tax credit of up to 6 percent.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Sales and use tax refund or third-party developer tax credit, or both, if applicable.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Research activities credit.</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Value-added property tax exemption.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Reserved.</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41 to 60 high quality jobs are created or retained.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$10 million or more in qualifying investment.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Investment tax credit or insurance premium tax credit of up to 7 percent.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Sales and use tax refund or third-party developer tax credit, or both, if applicable.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Research activities credit.</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Value-added property tax exemption.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Reserved.</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61 to 80 high quality jobs are created or retained.</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$10 million or more in qualifying investment.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Investment tax credit or insurance premium tax credit of up to 8 percent.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Sales and use tax refund or third-party developer tax credit, or both, if applicable.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Research activities credit.</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Value-added property tax exemption.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Reserved.</w:t>
      </w:r>
    </w:p>
    <w:p>
      <w:pPr>
        <w:spacing w:before="0" w:after="0"/>
        <w:ind w:left="120"/>
        <w:jc w:val="left"/>
      </w:pPr>
      <w:r>
        <w:rPr>
          <w:rFonts w:ascii="Times New Roman" w:hAnsi="Times New Roman"/>
          <w:b w:val="false"/>
          <w:i/>
          <w:color w:val="000000"/>
          <w:sz w:val="22"/>
        </w:rPr>
        <w:t>i.</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81 to 100 high quality jobs are created or retained.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$10 million or more in qualifying investment.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Investment tax credit or insurance premium tax credit of up to 9 percent.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Sales and use tax refund or third-party developer tax credit, or both, if applicable.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Research activities credit.</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Value-added property tax exemption.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Reserved.</w:t>
      </w:r>
    </w:p>
    <w:p>
      <w:pPr>
        <w:spacing w:before="0" w:after="0"/>
        <w:ind w:left="120"/>
        <w:jc w:val="left"/>
      </w:pPr>
      <w:r>
        <w:rPr>
          <w:rFonts w:ascii="Times New Roman" w:hAnsi="Times New Roman"/>
          <w:b w:val="false"/>
          <w:i/>
          <w:color w:val="000000"/>
          <w:sz w:val="22"/>
        </w:rPr>
        <w:t>j.</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101 or more high quality jobs are created or retained.</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$10 million or more in qualifying investment.</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Investment tax credit or insurance premium tax credit of up to 10 percent.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Sales and use tax refund or third-party developer tax credit, or both, if applicable.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Research activities credit.</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Value-added property tax exemption.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261—68.5</w:t>
      </w:r>
      <w:r>
        <w:rPr>
          <w:rFonts w:ascii="Times New Roman" w:hAnsi="Times New Roman"/>
          <w:b/>
          <w:i w:val="false"/>
          <w:color w:val="000000"/>
          <w:sz w:val="22"/>
        </w:rPr>
        <w:t xml:space="preserve">(15) </w:t>
      </w:r>
      <w:r>
        <w:rPr>
          <w:rFonts w:ascii="Times New Roman" w:hAnsi="Times New Roman"/>
          <w:b/>
          <w:i w:val="false"/>
          <w:color w:val="000000"/>
          <w:sz w:val="22"/>
        </w:rPr>
        <w:t xml:space="preserve">Project completion assistance. </w:t>
      </w:r>
    </w:p>
    <w:p>
      <w:pPr>
        <w:spacing w:before="0" w:after="0"/>
        <w:ind w:left="120"/>
        <w:jc w:val="both"/>
      </w:pPr>
      <w:r>
        <w:rPr>
          <w:rFonts w:ascii="Times New Roman" w:hAnsi="Times New Roman"/>
          <w:b/>
          <w:i w:val="false"/>
          <w:color w:val="000000"/>
          <w:sz w:val="22"/>
        </w:rPr>
        <w:t>68.5(1)</w:t>
      </w:r>
      <w:r>
        <w:rPr>
          <w:rFonts w:ascii="Times New Roman" w:hAnsi="Times New Roman"/>
          <w:b w:val="false"/>
          <w:i w:val="false"/>
          <w:color w:val="000000"/>
          <w:sz w:val="22"/>
        </w:rPr>
        <w:t> </w:t>
      </w:r>
      <w:r>
        <w:rPr>
          <w:rFonts w:ascii="Times New Roman" w:hAnsi="Times New Roman"/>
          <w:b w:val="false"/>
          <w:i/>
          <w:color w:val="000000"/>
          <w:sz w:val="22"/>
        </w:rPr>
        <w:t xml:space="preserve">Awards and negotiations. </w:t>
      </w:r>
      <w:r>
        <w:rPr>
          <w:rFonts w:ascii="Times New Roman" w:hAnsi="Times New Roman"/>
          <w:b w:val="false"/>
          <w:i w:val="false"/>
          <w:color w:val="000000"/>
          <w:sz w:val="22"/>
        </w:rPr>
        <w:t xml:space="preserve">The authority may award project completion assistance, in the form of a loan or forgivable loan or combination of both, to a business that meets the eligibility requirements of the program. All award determinations are subject to the requirements of Iowa Code section </w:t>
      </w:r>
      <w:hyperlink r:id="rId58">
        <w:r>
          <w:rPr>
            <w:rStyle w:val="Hyperlink"/>
            <w:rFonts w:ascii="Times New Roman" w:hAnsi="Times New Roman"/>
            <w:b w:val="false"/>
            <w:i w:val="false"/>
            <w:color w:val="000000"/>
            <w:sz w:val="22"/>
          </w:rPr>
          <w:t>15.335B(3)</w:t>
        </w:r>
      </w:hyperlink>
      <w:r>
        <w:rPr>
          <w:rFonts w:ascii="Times New Roman" w:hAnsi="Times New Roman"/>
          <w:b w:val="false"/>
          <w:i w:val="false"/>
          <w:color w:val="000000"/>
          <w:sz w:val="22"/>
        </w:rPr>
        <w:t>. The board, with the assistance of authority staff, will determine the appropriate amount of project completion assistance, and the board will make a good-faith effort to provide only the amount of incentives and assistance necessary to facilitate the project’s successful completion. The amount, type, and terms of the assistance provided typically vary according to the needs of each project, and each award is subject to negotiation. The board and the authority will strive to treat similarly situated applicants in a like manner. However, the amount, type, and terms of project completion assistance most appropriate for a given project are necessarily dependent on many factors, and awards of project completion assistance shall be entirely at the discretion of the board.</w:t>
      </w:r>
    </w:p>
    <w:p>
      <w:pPr>
        <w:spacing w:before="0" w:after="0"/>
        <w:ind w:left="120"/>
        <w:jc w:val="both"/>
      </w:pPr>
      <w:r>
        <w:rPr>
          <w:rFonts w:ascii="Times New Roman" w:hAnsi="Times New Roman"/>
          <w:b/>
          <w:i w:val="false"/>
          <w:color w:val="000000"/>
          <w:sz w:val="22"/>
        </w:rPr>
        <w:t>68.5(2)</w:t>
      </w:r>
      <w:r>
        <w:rPr>
          <w:rFonts w:ascii="Times New Roman" w:hAnsi="Times New Roman"/>
          <w:b w:val="false"/>
          <w:i w:val="false"/>
          <w:color w:val="000000"/>
          <w:sz w:val="22"/>
        </w:rPr>
        <w:t> </w:t>
      </w:r>
      <w:r>
        <w:rPr>
          <w:rFonts w:ascii="Times New Roman" w:hAnsi="Times New Roman"/>
          <w:b w:val="false"/>
          <w:i/>
          <w:color w:val="000000"/>
          <w:sz w:val="22"/>
        </w:rPr>
        <w:t xml:space="preserve">Factors affecting the amount, type, and terms of project completion assistance. </w:t>
      </w:r>
      <w:r>
        <w:rPr>
          <w:rFonts w:ascii="Times New Roman" w:hAnsi="Times New Roman"/>
          <w:b w:val="false"/>
          <w:i w:val="false"/>
          <w:color w:val="000000"/>
          <w:sz w:val="22"/>
        </w:rPr>
        <w:t>When determining an award of project completion assistance, the board, with the assistance of authority staff, typically considers the following factors: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fiscal impact ratio of the project.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the amount of assistance to be awarded is appropriate to the number of jobs that will be created.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availability of funding.</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Whether other forms of assistance, including tax incentives, are available.</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project’s level of need, including whether the local community and the private sector are also contributing to the success of the project.</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total amount of funds from other sources that can be leveraged.</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quality of the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261—68.6</w:t>
      </w:r>
      <w:r>
        <w:rPr>
          <w:rFonts w:ascii="Times New Roman" w:hAnsi="Times New Roman"/>
          <w:b/>
          <w:i w:val="false"/>
          <w:color w:val="000000"/>
          <w:sz w:val="22"/>
        </w:rPr>
        <w:t xml:space="preserve">(15) </w:t>
      </w:r>
      <w:r>
        <w:rPr>
          <w:rFonts w:ascii="Times New Roman" w:hAnsi="Times New Roman"/>
          <w:b/>
          <w:i w:val="false"/>
          <w:color w:val="000000"/>
          <w:sz w:val="22"/>
        </w:rPr>
        <w:t xml:space="preserve">Agreements and compliance. </w:t>
      </w:r>
    </w:p>
    <w:p>
      <w:pPr>
        <w:spacing w:before="0" w:after="0"/>
        <w:ind w:left="120"/>
        <w:jc w:val="both"/>
      </w:pPr>
      <w:r>
        <w:rPr>
          <w:rFonts w:ascii="Times New Roman" w:hAnsi="Times New Roman"/>
          <w:b/>
          <w:i w:val="false"/>
          <w:color w:val="000000"/>
          <w:sz w:val="22"/>
        </w:rPr>
        <w:t>68.6(1)</w:t>
      </w:r>
      <w:r>
        <w:rPr>
          <w:rFonts w:ascii="Times New Roman" w:hAnsi="Times New Roman"/>
          <w:b w:val="false"/>
          <w:i w:val="false"/>
          <w:color w:val="000000"/>
          <w:sz w:val="22"/>
        </w:rPr>
        <w:t> </w:t>
      </w:r>
      <w:r>
        <w:rPr>
          <w:rFonts w:ascii="Times New Roman" w:hAnsi="Times New Roman"/>
          <w:b w:val="false"/>
          <w:i/>
          <w:color w:val="000000"/>
          <w:sz w:val="22"/>
        </w:rPr>
        <w:t xml:space="preserve">Execution. </w:t>
      </w:r>
      <w:r>
        <w:rPr>
          <w:rFonts w:ascii="Times New Roman" w:hAnsi="Times New Roman"/>
          <w:b w:val="false"/>
          <w:i w:val="false"/>
          <w:color w:val="000000"/>
          <w:sz w:val="22"/>
        </w:rPr>
        <w:t xml:space="preserve">Successful applicants will be required to execute an agreement with the authority within 180 days of the award date. The time limit for execution may be extended by the authority director for an additional 180 days for good cause shown. Upon expiration of the time limit, including any extensions approved pursuant to this subrule, the board may approve additional extensions or rescind the award. </w:t>
      </w:r>
    </w:p>
    <w:p>
      <w:pPr>
        <w:spacing w:before="0" w:after="0"/>
        <w:ind w:left="120"/>
        <w:jc w:val="both"/>
      </w:pPr>
      <w:r>
        <w:rPr>
          <w:rFonts w:ascii="Times New Roman" w:hAnsi="Times New Roman"/>
          <w:b/>
          <w:i w:val="false"/>
          <w:color w:val="000000"/>
          <w:sz w:val="22"/>
        </w:rPr>
        <w:t>68.6(2)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 xml:space="preserve">An agreement shall meet all requirements of and be administered pursuant to Iowa Code sections </w:t>
      </w:r>
      <w:hyperlink r:id="rId59">
        <w:r>
          <w:rPr>
            <w:rStyle w:val="Hyperlink"/>
            <w:rFonts w:ascii="Times New Roman" w:hAnsi="Times New Roman"/>
            <w:b w:val="false"/>
            <w:i w:val="false"/>
            <w:color w:val="000000"/>
            <w:sz w:val="22"/>
          </w:rPr>
          <w:t>15.330</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15.330A</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i w:val="false"/>
          <w:color w:val="000000"/>
          <w:sz w:val="22"/>
        </w:rPr>
        <w:t>68.6(3)</w:t>
      </w:r>
      <w:r>
        <w:rPr>
          <w:rFonts w:ascii="Times New Roman" w:hAnsi="Times New Roman"/>
          <w:b w:val="false"/>
          <w:i w:val="false"/>
          <w:color w:val="000000"/>
          <w:sz w:val="22"/>
        </w:rPr>
        <w:t> </w:t>
      </w:r>
      <w:r>
        <w:rPr>
          <w:rFonts w:ascii="Times New Roman" w:hAnsi="Times New Roman"/>
          <w:b w:val="false"/>
          <w:i/>
          <w:color w:val="000000"/>
          <w:sz w:val="22"/>
        </w:rPr>
        <w:t xml:space="preserve">Jobs. </w:t>
      </w:r>
      <w:r>
        <w:rPr>
          <w:rFonts w:ascii="Times New Roman" w:hAnsi="Times New Roman"/>
          <w:b w:val="false"/>
          <w:i w:val="false"/>
          <w:color w:val="000000"/>
          <w:sz w:val="22"/>
        </w:rPr>
        <w:t xml:space="preserve">An agreement will specify the number of jobs the business has pledged to create in addition to the base employment level and the number of retained jobs, if applicable. If the project is a modernization project or retention-only project, the business shall maintain the base employment level. Job obligations will be established and monitored pursuant to rule </w:t>
      </w:r>
      <w:hyperlink r:id="rId61">
        <w:r>
          <w:rPr>
            <w:rStyle w:val="Hyperlink"/>
            <w:rFonts w:ascii="Times New Roman" w:hAnsi="Times New Roman"/>
            <w:b w:val="false"/>
            <w:i w:val="false"/>
            <w:color w:val="000000"/>
            <w:sz w:val="22"/>
          </w:rPr>
          <w:t>261—68.7</w:t>
        </w:r>
      </w:hyperlink>
      <w:r>
        <w:rPr>
          <w:rFonts w:ascii="Times New Roman" w:hAnsi="Times New Roman"/>
          <w:b w:val="false"/>
          <w:i w:val="false"/>
          <w:color w:val="000000"/>
          <w:sz w:val="22"/>
        </w:rPr>
        <w:t>(15).</w:t>
      </w:r>
    </w:p>
    <w:p>
      <w:pPr>
        <w:spacing w:before="0" w:after="0"/>
        <w:ind w:left="120"/>
        <w:jc w:val="both"/>
      </w:pPr>
      <w:r>
        <w:rPr>
          <w:rFonts w:ascii="Times New Roman" w:hAnsi="Times New Roman"/>
          <w:b/>
          <w:i w:val="false"/>
          <w:color w:val="000000"/>
          <w:sz w:val="22"/>
        </w:rPr>
        <w:t>68.6(4)</w:t>
      </w:r>
      <w:r>
        <w:rPr>
          <w:rFonts w:ascii="Times New Roman" w:hAnsi="Times New Roman"/>
          <w:b w:val="false"/>
          <w:i w:val="false"/>
          <w:color w:val="000000"/>
          <w:sz w:val="22"/>
        </w:rPr>
        <w:t> </w:t>
      </w:r>
      <w:r>
        <w:rPr>
          <w:rFonts w:ascii="Times New Roman" w:hAnsi="Times New Roman"/>
          <w:b w:val="false"/>
          <w:i/>
          <w:color w:val="000000"/>
          <w:sz w:val="22"/>
        </w:rPr>
        <w:t xml:space="preserve">Investment. </w:t>
      </w:r>
      <w:r>
        <w:rPr>
          <w:rFonts w:ascii="Times New Roman" w:hAnsi="Times New Roman"/>
          <w:b w:val="false"/>
          <w:i w:val="false"/>
          <w:color w:val="000000"/>
          <w:sz w:val="22"/>
        </w:rPr>
        <w:t xml:space="preserve">An agreement will describe the project and specify the investment the business proposes to make. </w:t>
      </w:r>
    </w:p>
    <w:p>
      <w:pPr>
        <w:spacing w:before="0" w:after="0"/>
        <w:ind w:left="120"/>
        <w:jc w:val="both"/>
      </w:pPr>
      <w:r>
        <w:rPr>
          <w:rFonts w:ascii="Times New Roman" w:hAnsi="Times New Roman"/>
          <w:b/>
          <w:i w:val="false"/>
          <w:color w:val="000000"/>
          <w:sz w:val="22"/>
        </w:rPr>
        <w:t>68.6(5)</w:t>
      </w:r>
      <w:r>
        <w:rPr>
          <w:rFonts w:ascii="Times New Roman" w:hAnsi="Times New Roman"/>
          <w:b w:val="false"/>
          <w:i w:val="false"/>
          <w:color w:val="000000"/>
          <w:sz w:val="22"/>
        </w:rPr>
        <w:t> </w:t>
      </w:r>
      <w:r>
        <w:rPr>
          <w:rFonts w:ascii="Times New Roman" w:hAnsi="Times New Roman"/>
          <w:b w:val="false"/>
          <w:i/>
          <w:color w:val="000000"/>
          <w:sz w:val="22"/>
        </w:rPr>
        <w:t xml:space="preserve">Project completion date. </w:t>
      </w:r>
      <w:r>
        <w:rPr>
          <w:rFonts w:ascii="Times New Roman" w:hAnsi="Times New Roman"/>
          <w:b w:val="false"/>
          <w:i w:val="false"/>
          <w:color w:val="000000"/>
          <w:sz w:val="22"/>
        </w:rPr>
        <w:t>An agreement will specify the project completion date. The project completion date will be the date on which a program recipient has agreed to meet all the terms and obligations contained in an agreement with the authority, including but not limited to completing the project and creating or retaining jobs. The project completion period will be at least three years. The project completion date is calculated by the authority from the end of the month during which an award is made. For example, if an award is made on June 13, 2023, the three-year project completion date will be calculated from June 30, 2023. The project completion date for this award would be June 30, 2026.</w:t>
      </w:r>
    </w:p>
    <w:p>
      <w:pPr>
        <w:spacing w:before="0" w:after="0"/>
        <w:ind w:left="120"/>
        <w:jc w:val="both"/>
      </w:pPr>
      <w:r>
        <w:rPr>
          <w:rFonts w:ascii="Times New Roman" w:hAnsi="Times New Roman"/>
          <w:b/>
          <w:i w:val="false"/>
          <w:color w:val="000000"/>
          <w:sz w:val="22"/>
        </w:rPr>
        <w:t>68.6(6)</w:t>
      </w:r>
      <w:r>
        <w:rPr>
          <w:rFonts w:ascii="Times New Roman" w:hAnsi="Times New Roman"/>
          <w:b w:val="false"/>
          <w:i w:val="false"/>
          <w:color w:val="000000"/>
          <w:sz w:val="22"/>
        </w:rPr>
        <w:t> </w:t>
      </w:r>
      <w:r>
        <w:rPr>
          <w:rFonts w:ascii="Times New Roman" w:hAnsi="Times New Roman"/>
          <w:b w:val="false"/>
          <w:i/>
          <w:color w:val="000000"/>
          <w:sz w:val="22"/>
        </w:rPr>
        <w:t xml:space="preserve">Maintenance period completion date. </w:t>
      </w:r>
      <w:r>
        <w:rPr>
          <w:rFonts w:ascii="Times New Roman" w:hAnsi="Times New Roman"/>
          <w:b w:val="false"/>
          <w:i w:val="false"/>
          <w:color w:val="000000"/>
          <w:sz w:val="22"/>
        </w:rPr>
        <w:t>An agreement will specify the maintenance period completion date. The maintenance period completion date will be used to establish the period during which the project, the created jobs, if any, and the retained jobs must be maintained. A modernization project shall maintain the base employment level through the maintenance period completion date. The total contract length, including the maintenance period, will be at least five years.</w:t>
      </w:r>
    </w:p>
    <w:p>
      <w:pPr>
        <w:spacing w:before="0" w:after="0"/>
        <w:ind w:left="120"/>
        <w:jc w:val="both"/>
      </w:pPr>
      <w:r>
        <w:rPr>
          <w:rFonts w:ascii="Times New Roman" w:hAnsi="Times New Roman"/>
          <w:b/>
          <w:i w:val="false"/>
          <w:color w:val="000000"/>
          <w:sz w:val="22"/>
        </w:rPr>
        <w:t>68.6(7)</w:t>
      </w:r>
      <w:r>
        <w:rPr>
          <w:rFonts w:ascii="Times New Roman" w:hAnsi="Times New Roman"/>
          <w:b w:val="false"/>
          <w:i w:val="false"/>
          <w:color w:val="000000"/>
          <w:sz w:val="22"/>
        </w:rPr>
        <w:t> </w:t>
      </w:r>
      <w:r>
        <w:rPr>
          <w:rFonts w:ascii="Times New Roman" w:hAnsi="Times New Roman"/>
          <w:b w:val="false"/>
          <w:i/>
          <w:color w:val="000000"/>
          <w:sz w:val="22"/>
        </w:rPr>
        <w:t xml:space="preserve">Conditions to disbursement. </w:t>
      </w:r>
      <w:r>
        <w:rPr>
          <w:rFonts w:ascii="Times New Roman" w:hAnsi="Times New Roman"/>
          <w:b w:val="false"/>
          <w:i w:val="false"/>
          <w:color w:val="000000"/>
          <w:sz w:val="22"/>
        </w:rPr>
        <w:t xml:space="preserve">An agreement will specify the conditions to disbursement of project completion assistance funds or issuance of a tax credit certificate, including but not limited to compliance with the requirements of Iowa Code section </w:t>
      </w:r>
      <w:hyperlink r:id="rId62">
        <w:r>
          <w:rPr>
            <w:rStyle w:val="Hyperlink"/>
            <w:rFonts w:ascii="Times New Roman" w:hAnsi="Times New Roman"/>
            <w:b w:val="false"/>
            <w:i w:val="false"/>
            <w:color w:val="000000"/>
            <w:sz w:val="22"/>
          </w:rPr>
          <w:t>15A.1(3)</w:t>
        </w:r>
      </w:hyperlink>
      <w:r>
        <w:rPr>
          <w:rFonts w:ascii="Times New Roman" w:hAnsi="Times New Roman"/>
          <w:b w:val="false"/>
          <w:i/>
          <w:color w:val="000000"/>
          <w:sz w:val="22"/>
        </w:rPr>
        <w:t>“b”</w:t>
      </w:r>
      <w:r>
        <w:rPr>
          <w:rFonts w:ascii="Times New Roman" w:hAnsi="Times New Roman"/>
          <w:b w:val="false"/>
          <w:i w:val="false"/>
          <w:color w:val="000000"/>
          <w:sz w:val="22"/>
        </w:rPr>
        <w:t xml:space="preserve"> regarding solid and hazardous waste. </w:t>
      </w:r>
    </w:p>
    <w:p>
      <w:pPr>
        <w:spacing w:before="0" w:after="0"/>
        <w:ind w:left="120"/>
        <w:jc w:val="both"/>
      </w:pPr>
      <w:r>
        <w:rPr>
          <w:rFonts w:ascii="Times New Roman" w:hAnsi="Times New Roman"/>
          <w:b/>
          <w:i w:val="false"/>
          <w:color w:val="000000"/>
          <w:sz w:val="22"/>
        </w:rPr>
        <w:t>68.6(8)</w:t>
      </w:r>
      <w:r>
        <w:rPr>
          <w:rFonts w:ascii="Times New Roman" w:hAnsi="Times New Roman"/>
          <w:b w:val="false"/>
          <w:i w:val="false"/>
          <w:color w:val="000000"/>
          <w:sz w:val="22"/>
        </w:rPr>
        <w:t> </w:t>
      </w:r>
      <w:r>
        <w:rPr>
          <w:rFonts w:ascii="Times New Roman" w:hAnsi="Times New Roman"/>
          <w:b w:val="false"/>
          <w:i/>
          <w:color w:val="000000"/>
          <w:sz w:val="22"/>
        </w:rPr>
        <w:t xml:space="preserve">Monitoring and reports. </w:t>
      </w:r>
      <w:r>
        <w:rPr>
          <w:rFonts w:ascii="Times New Roman" w:hAnsi="Times New Roman"/>
          <w:b w:val="false"/>
          <w:i w:val="false"/>
          <w:color w:val="000000"/>
          <w:sz w:val="22"/>
        </w:rPr>
        <w:t xml:space="preserve">The authority shall ensure that program recipients comply with contracts entered into pursuant to this rule. An agreement will specify the reports a program recipient must submit to the authority and due dates for such reports. Reports shall be provided in form and content acceptable to the authority.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Recipients shall report annually to the authority about the status of the funded project, including but not limited to employment, wages, benefits, project costs, capital investment, and compliance with the contract. The authority will use the data it collects in the authority’s annual report to the general assembly.</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Recipients shall submit a report to the authority following the project completion date and the maintenance period completion date to verify compliance with the agreement. On-site or remote monitoring may be conducted following the project completion date as deemed appropriate by the authority. On-site or remote monitoring may be conducted following the maintenance period completion date as deemed appropriate by the authority.</w:t>
      </w:r>
    </w:p>
    <w:p>
      <w:pPr>
        <w:spacing w:before="0" w:after="0"/>
        <w:ind w:left="120"/>
        <w:jc w:val="both"/>
      </w:pPr>
      <w:r>
        <w:rPr>
          <w:rFonts w:ascii="Times New Roman" w:hAnsi="Times New Roman"/>
          <w:b/>
          <w:i w:val="false"/>
          <w:color w:val="000000"/>
          <w:sz w:val="22"/>
        </w:rPr>
        <w:t>68.6(9)</w:t>
      </w:r>
      <w:r>
        <w:rPr>
          <w:rFonts w:ascii="Times New Roman" w:hAnsi="Times New Roman"/>
          <w:b w:val="false"/>
          <w:i w:val="false"/>
          <w:color w:val="000000"/>
          <w:sz w:val="22"/>
        </w:rPr>
        <w:t> </w:t>
      </w:r>
      <w:r>
        <w:rPr>
          <w:rFonts w:ascii="Times New Roman" w:hAnsi="Times New Roman"/>
          <w:b w:val="false"/>
          <w:i/>
          <w:color w:val="000000"/>
          <w:sz w:val="22"/>
        </w:rPr>
        <w:t xml:space="preserve">Default. </w:t>
      </w:r>
      <w:r>
        <w:rPr>
          <w:rFonts w:ascii="Times New Roman" w:hAnsi="Times New Roman"/>
          <w:b w:val="false"/>
          <w:i w:val="false"/>
          <w:color w:val="000000"/>
          <w:sz w:val="22"/>
        </w:rPr>
        <w:t xml:space="preserve">An agreement will specify events of default and the remedies available to the authority.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Project completion assistance. </w:t>
      </w:r>
      <w:r>
        <w:rPr>
          <w:rFonts w:ascii="Times New Roman" w:hAnsi="Times New Roman"/>
          <w:b w:val="false"/>
          <w:i w:val="false"/>
          <w:color w:val="000000"/>
          <w:sz w:val="22"/>
        </w:rPr>
        <w:t xml:space="preserve">If the authority determines that a recipient is in default, the authority may seek recovery of all project completion assistance funds plus interest; assess penalties; negotiate alternative repayment schedules; initiate, suspend or discontinue collection efforts; and take other appropriate action as the board deems necessary. Negotiated settlements, write-offs or discontinuance of collection efforts are subject to approval by the board. If the authority or board refers defaulted contracts to outside counsel for collection, then the terms of the agreement between the authority and the outside counsel regarding scope of counsel’s authorization to accept settlements shall apply.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Tax incentives. </w:t>
      </w:r>
      <w:r>
        <w:rPr>
          <w:rFonts w:ascii="Times New Roman" w:hAnsi="Times New Roman"/>
          <w:b w:val="false"/>
          <w:i w:val="false"/>
          <w:color w:val="000000"/>
          <w:sz w:val="22"/>
        </w:rPr>
        <w:t>If the authority determines that a recipient is in default, the authority may seek recovery of all state tax incentives by notifying the department of revenue of the event of default and the required repayment amount. The repayment amount is subject to applicable interest and penalties as determined by the department of revenue. The department of revenue will undertake collection efforts. If the business is an entity that has elected pass-through taxation status for income tax purposes, the department of revenue may undertake collection efforts against members, individuals, or shareholders to whom the tax incentives were passed through. If the agreement provided for local tax incentives, the authority will notify the community that provided incentives.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Calculation of repayment due or reduction of incentives.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Job shortfall. If a business does not meet its job requirements, the repayment amount or reduction of incentives shall be the same proportion as the amount of the job shortfall. For example, if the business creates 50 percent of the jobs required, the business shall repay 50 percent of the incentives received or incentives will be reduced by 50 percent.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Capital investment shortfall. If a business does not meet the capital investment requirement, the repayment amount or reduction of incentives shall be the same proportion as the amount of the shortfall in required capital investment. For example, if the business meets 75 percent of the amount of required capital investment, the business shall repay 25 percent of the amount of the incentives received or incentives will be reduced by 25 percent.</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Job and capital investment shortfalls. If a business has a shortfall in both capital investment and job requirements, the repayment amount or reduction of incentives shall be the same proportion as the greater of the two shortfalls. For example, if a business creates 50 percent of the required jobs and meets 75 percent of the required capital investment, the business shall be required to repay 50 percent of the amount of the incentives received or incentives will be reduced by 50 percent.</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Benefits. Notwithstanding any other provision in this subrule, if a business fails to comply with the benefit requirements of the agreement, the business shall be required to repay all of the incentives received or incentives will be fully revoked.</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Minimum eligibility. Notwithstanding any other provision in this subrule, if a business fails to maintain eligibility for the program, the business shall repay all of the incentives received or incentives will be fully revoked.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Notice of default. </w:t>
      </w:r>
      <w:r>
        <w:rPr>
          <w:rFonts w:ascii="Times New Roman" w:hAnsi="Times New Roman"/>
          <w:b w:val="false"/>
          <w:i w:val="false"/>
          <w:color w:val="000000"/>
          <w:sz w:val="22"/>
        </w:rPr>
        <w:t xml:space="preserve">The authority will notify a business and, if applicable, the community of an event of default as described in the agreement. </w:t>
      </w:r>
    </w:p>
    <w:p>
      <w:pPr>
        <w:spacing w:before="0" w:after="0"/>
        <w:ind w:left="120"/>
        <w:jc w:val="both"/>
      </w:pPr>
      <w:r>
        <w:rPr>
          <w:rFonts w:ascii="Times New Roman" w:hAnsi="Times New Roman"/>
          <w:b/>
          <w:i w:val="false"/>
          <w:color w:val="000000"/>
          <w:sz w:val="22"/>
        </w:rPr>
        <w:t>68.6(10)</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r>
        <w:rPr>
          <w:rFonts w:ascii="Times New Roman" w:hAnsi="Times New Roman"/>
          <w:b w:val="false"/>
          <w:i w:val="false"/>
          <w:color w:val="000000"/>
          <w:sz w:val="22"/>
        </w:rPr>
        <w:t xml:space="preserve">Agreement amendments must comply with Iowa Code chapter </w:t>
      </w:r>
      <w:hyperlink r:id="rId63">
        <w:r>
          <w:rPr>
            <w:rStyle w:val="Hyperlink"/>
            <w:rFonts w:ascii="Times New Roman" w:hAnsi="Times New Roman"/>
            <w:b w:val="false"/>
            <w:i w:val="false"/>
            <w:color w:val="000000"/>
            <w:sz w:val="22"/>
          </w:rPr>
          <w:t>15, subchapter II, part 13</w:t>
        </w:r>
      </w:hyperlink>
      <w:r>
        <w:rPr>
          <w:rFonts w:ascii="Times New Roman" w:hAnsi="Times New Roman"/>
          <w:b w:val="false"/>
          <w:i w:val="false"/>
          <w:color w:val="000000"/>
          <w:sz w:val="22"/>
        </w:rPr>
        <w:t>, and this chapter. Participating businesses may submit requests for amendments to authority staff.</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Except as provided in paragraph </w:t>
      </w:r>
      <w:hyperlink r:id="rId64">
        <w:r>
          <w:rPr>
            <w:rStyle w:val="Hyperlink"/>
            <w:rFonts w:ascii="Times New Roman" w:hAnsi="Times New Roman"/>
            <w:b w:val="false"/>
            <w:i w:val="false"/>
            <w:color w:val="000000"/>
            <w:sz w:val="22"/>
          </w:rPr>
          <w:t>68.6(10)</w:t>
        </w:r>
      </w:hyperlink>
      <w:r>
        <w:rPr>
          <w:rFonts w:ascii="Times New Roman" w:hAnsi="Times New Roman"/>
          <w:b w:val="false"/>
          <w:i/>
          <w:color w:val="000000"/>
          <w:sz w:val="22"/>
        </w:rPr>
        <w:t>“b,”</w:t>
      </w:r>
      <w:r>
        <w:rPr>
          <w:rFonts w:ascii="Times New Roman" w:hAnsi="Times New Roman"/>
          <w:b w:val="false"/>
          <w:i w:val="false"/>
          <w:color w:val="000000"/>
          <w:sz w:val="22"/>
        </w:rPr>
        <w:t xml:space="preserve"> no request to amend an agreement may be approved unless it has been reviewed by the due diligence committee established pursuant to </w:t>
      </w:r>
      <w:hyperlink r:id="rId65">
        <w:r>
          <w:rPr>
            <w:rStyle w:val="Hyperlink"/>
            <w:rFonts w:ascii="Times New Roman" w:hAnsi="Times New Roman"/>
            <w:b w:val="false"/>
            <w:i w:val="false"/>
            <w:color w:val="000000"/>
            <w:sz w:val="22"/>
          </w:rPr>
          <w:t>261—subrule 1.3(7)</w:t>
        </w:r>
      </w:hyperlink>
      <w:r>
        <w:rPr>
          <w:rFonts w:ascii="Times New Roman" w:hAnsi="Times New Roman"/>
          <w:b w:val="false"/>
          <w:i w:val="false"/>
          <w:color w:val="000000"/>
          <w:sz w:val="22"/>
        </w:rPr>
        <w:t xml:space="preserve">, the due diligence committee has recommended approving the request to amend the agreement, and the board approves the request to amend the agreement.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Authority staff may approve nonsubstantive changes, including but not limited to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Recipient name, address and similar changes.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Collateral changes that do not materially and substantially impact the authority’s security.</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Line item budget changes that do not reduce overall total project costs.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Loan repayment amounts or due dates that do not extend the final due date of a loan.</w:t>
      </w:r>
    </w:p>
    <w:p>
      <w:pPr>
        <w:spacing w:before="0" w:after="0"/>
        <w:ind w:left="120"/>
        <w:jc w:val="left"/>
      </w:pPr>
      <w:r>
        <w:rPr>
          <w:rFonts w:ascii="Times New Roman" w:hAnsi="Times New Roman"/>
          <w:b w:val="false"/>
          <w:i w:val="false"/>
          <w:color w:val="000000"/>
          <w:sz w:val="22"/>
        </w:rPr>
        <w:t>(5)</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Changes to tax credit amortization schedules.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261—68.7</w:t>
      </w:r>
      <w:r>
        <w:rPr>
          <w:rFonts w:ascii="Times New Roman" w:hAnsi="Times New Roman"/>
          <w:b/>
          <w:i w:val="false"/>
          <w:color w:val="000000"/>
          <w:sz w:val="22"/>
        </w:rPr>
        <w:t xml:space="preserve">(15) </w:t>
      </w:r>
      <w:r>
        <w:rPr>
          <w:rFonts w:ascii="Times New Roman" w:hAnsi="Times New Roman"/>
          <w:b/>
          <w:i w:val="false"/>
          <w:color w:val="000000"/>
          <w:sz w:val="22"/>
        </w:rPr>
        <w:t xml:space="preserve">Job counting. </w:t>
      </w:r>
    </w:p>
    <w:p>
      <w:pPr>
        <w:spacing w:before="0" w:after="0"/>
        <w:ind w:left="120"/>
        <w:jc w:val="both"/>
      </w:pPr>
      <w:r>
        <w:rPr>
          <w:rFonts w:ascii="Times New Roman" w:hAnsi="Times New Roman"/>
          <w:b/>
          <w:i w:val="false"/>
          <w:color w:val="000000"/>
          <w:sz w:val="22"/>
        </w:rPr>
        <w:t>68.7(1)</w:t>
      </w:r>
      <w:r>
        <w:rPr>
          <w:rFonts w:ascii="Times New Roman" w:hAnsi="Times New Roman"/>
          <w:b w:val="false"/>
          <w:i w:val="false"/>
          <w:color w:val="000000"/>
          <w:sz w:val="22"/>
        </w:rPr>
        <w:t> </w:t>
      </w:r>
      <w:r>
        <w:rPr>
          <w:rFonts w:ascii="Times New Roman" w:hAnsi="Times New Roman"/>
          <w:b w:val="false"/>
          <w:i/>
          <w:color w:val="000000"/>
          <w:sz w:val="22"/>
        </w:rPr>
        <w:t xml:space="preserve">Overview. </w:t>
      </w:r>
      <w:r>
        <w:rPr>
          <w:rFonts w:ascii="Times New Roman" w:hAnsi="Times New Roman"/>
          <w:b w:val="false"/>
          <w:i w:val="false"/>
          <w:color w:val="000000"/>
          <w:sz w:val="22"/>
        </w:rPr>
        <w:t xml:space="preserve">The authority will count created and retained jobs using a base employment analysis comparing the base employment level to employment at another date. The business’s base employment level will be established at the time of application for the program. The number of jobs the business has pledged to create shall be in addition to the base employment level. Retained jobs may be included in the base employment level as established at the time of approval. </w:t>
      </w:r>
    </w:p>
    <w:p>
      <w:pPr>
        <w:spacing w:before="0" w:after="0"/>
        <w:ind w:left="120"/>
        <w:jc w:val="both"/>
      </w:pPr>
      <w:r>
        <w:rPr>
          <w:rFonts w:ascii="Times New Roman" w:hAnsi="Times New Roman"/>
          <w:b/>
          <w:i w:val="false"/>
          <w:color w:val="000000"/>
          <w:sz w:val="22"/>
        </w:rPr>
        <w:t>68.7(2)</w:t>
      </w:r>
      <w:r>
        <w:rPr>
          <w:rFonts w:ascii="Times New Roman" w:hAnsi="Times New Roman"/>
          <w:b w:val="false"/>
          <w:i w:val="false"/>
          <w:color w:val="000000"/>
          <w:sz w:val="22"/>
        </w:rPr>
        <w:t> </w:t>
      </w:r>
      <w:r>
        <w:rPr>
          <w:rFonts w:ascii="Times New Roman" w:hAnsi="Times New Roman"/>
          <w:b w:val="false"/>
          <w:i/>
          <w:color w:val="000000"/>
          <w:sz w:val="22"/>
        </w:rPr>
        <w:t xml:space="preserve">Base employment level.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Base employment level will include the number of full-time equivalent positions employed at the project location. If the project occurs at more than one physical location, the business’s base employment level will include the total number of full-time equivalent positions working at the identified locations. Base employment level may include the business’s full-time equivalent positions as identified by the authority who are employed in this state but are not employed at the project location.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a business receives multiple awards for projects at the same location, the base employment level will be calculated by using the payroll document from the oldest award that is open. Job obligations from each new award will be added to this base employment level.</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authority will collect payroll documents to calculate and verify base employment level used in each award. Payroll documents must include a name or employee identification number and the hourly rate of pay for all full-time equivalent positions. </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base employment level includes retained jobs, the authority will require a business to verify that a job is at risk. Such verification may include the signed statement of an officer of the business, documentation that the business is actively exploring other sites for the project, or any other information the authority may reasonably require during the application review process to establish that a job is at risk.</w:t>
      </w:r>
    </w:p>
    <w:p>
      <w:pPr>
        <w:spacing w:before="0" w:after="0"/>
        <w:ind w:left="120"/>
        <w:jc w:val="both"/>
      </w:pPr>
      <w:r>
        <w:rPr>
          <w:rFonts w:ascii="Times New Roman" w:hAnsi="Times New Roman"/>
          <w:b/>
          <w:i w:val="false"/>
          <w:color w:val="000000"/>
          <w:sz w:val="22"/>
        </w:rPr>
        <w:t>68.7(3)</w:t>
      </w:r>
      <w:r>
        <w:rPr>
          <w:rFonts w:ascii="Times New Roman" w:hAnsi="Times New Roman"/>
          <w:b w:val="false"/>
          <w:i w:val="false"/>
          <w:color w:val="000000"/>
          <w:sz w:val="22"/>
        </w:rPr>
        <w:t> </w:t>
      </w:r>
      <w:r>
        <w:rPr>
          <w:rFonts w:ascii="Times New Roman" w:hAnsi="Times New Roman"/>
          <w:b w:val="false"/>
          <w:i/>
          <w:color w:val="000000"/>
          <w:sz w:val="22"/>
        </w:rPr>
        <w:t xml:space="preserve">Verification. </w:t>
      </w:r>
      <w:r>
        <w:rPr>
          <w:rFonts w:ascii="Times New Roman" w:hAnsi="Times New Roman"/>
          <w:b w:val="false"/>
          <w:i w:val="false"/>
          <w:color w:val="000000"/>
          <w:sz w:val="22"/>
        </w:rPr>
        <w:t>At the project completion date, during the maintenance period, and following the maintenance period completion date, payroll documents will be used to calculate and verify compliance with job obligations. The person who submits the documents must, under penalty of perjury, verify that the information contained in the documents is true and correct.</w:t>
      </w:r>
    </w:p>
    <w:p>
      <w:pPr>
        <w:spacing w:before="0" w:after="0"/>
        <w:ind w:left="120"/>
        <w:jc w:val="both"/>
      </w:pPr>
      <w:r>
        <w:rPr>
          <w:rFonts w:ascii="Times New Roman" w:hAnsi="Times New Roman"/>
          <w:b/>
          <w:i w:val="false"/>
          <w:color w:val="000000"/>
          <w:sz w:val="22"/>
        </w:rPr>
        <w:t>68.7(4)</w:t>
      </w:r>
      <w:r>
        <w:rPr>
          <w:rFonts w:ascii="Times New Roman" w:hAnsi="Times New Roman"/>
          <w:b w:val="false"/>
          <w:i w:val="false"/>
          <w:color w:val="000000"/>
          <w:sz w:val="22"/>
        </w:rPr>
        <w:t> </w:t>
      </w:r>
      <w:r>
        <w:rPr>
          <w:rFonts w:ascii="Times New Roman" w:hAnsi="Times New Roman"/>
          <w:b w:val="false"/>
          <w:i/>
          <w:color w:val="000000"/>
          <w:sz w:val="22"/>
        </w:rPr>
        <w:t xml:space="preserve">Full-time equivalent positions. </w:t>
      </w:r>
      <w:r>
        <w:rPr>
          <w:rFonts w:ascii="Times New Roman" w:hAnsi="Times New Roman"/>
          <w:b w:val="false"/>
          <w:i w:val="false"/>
          <w:color w:val="000000"/>
          <w:sz w:val="22"/>
        </w:rPr>
        <w:t xml:space="preserve">Only a full-time equivalent position filled by an individual will be considered an employee of the business for the purpose of establishing the base employment level, retained jobs, or created jobs. The authority will not consider “job sharing” or any other means of aggregation or combination of hours worked by more than one natural person in counting jobs. The authority will verify that full-time equivalent positions constitute the employment of one person for: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Eight hours per day for a five-day, 40-hour workweek for 52 weeks per year, including paid holidays, vacations and other paid leave; or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number of hours or days per week, including paid holidays, vacations and other paid leave, currently established by schedule, custom, or otherwise, as constituting a week of full-time work for the kind of service an individual performs for an employing unit, provided that the number of hours per week is at least 32 hours per week for 52 weeks per year, including paid holidays, vacations, and other paid leave.</w:t>
      </w:r>
    </w:p>
    <w:p>
      <w:pPr>
        <w:spacing w:before="0" w:after="0"/>
        <w:ind w:left="120"/>
        <w:jc w:val="both"/>
      </w:pPr>
      <w:r>
        <w:rPr>
          <w:rFonts w:ascii="Times New Roman" w:hAnsi="Times New Roman"/>
          <w:b w:val="false"/>
          <w:i w:val="false"/>
          <w:color w:val="000000"/>
          <w:sz w:val="22"/>
        </w:rPr>
        <w:t>If employees at the facility do not typically work 40 hours per week, the business will be required to provide documentation outlining what the business considers a full-time workweek and how the business’s interpretation fits within the norms of its industry standards. Whether to accept this interpretation is within the sole discretion of the authority.</w:t>
      </w:r>
    </w:p>
    <w:p>
      <w:pPr>
        <w:spacing w:before="0" w:after="0"/>
        <w:ind w:left="120"/>
        <w:jc w:val="both"/>
      </w:pPr>
      <w:r>
        <w:rPr>
          <w:rFonts w:ascii="Times New Roman" w:hAnsi="Times New Roman"/>
          <w:b/>
          <w:i w:val="false"/>
          <w:color w:val="000000"/>
          <w:sz w:val="22"/>
        </w:rPr>
        <w:t>68.7(5)</w:t>
      </w:r>
      <w:r>
        <w:rPr>
          <w:rFonts w:ascii="Times New Roman" w:hAnsi="Times New Roman"/>
          <w:b w:val="false"/>
          <w:i w:val="false"/>
          <w:color w:val="000000"/>
          <w:sz w:val="22"/>
        </w:rPr>
        <w:t> </w:t>
      </w:r>
      <w:r>
        <w:rPr>
          <w:rFonts w:ascii="Times New Roman" w:hAnsi="Times New Roman"/>
          <w:b w:val="false"/>
          <w:i/>
          <w:color w:val="000000"/>
          <w:sz w:val="22"/>
        </w:rPr>
        <w:t xml:space="preserve">Contract employees. </w:t>
      </w:r>
      <w:r>
        <w:rPr>
          <w:rFonts w:ascii="Times New Roman" w:hAnsi="Times New Roman"/>
          <w:b w:val="false"/>
          <w:i w:val="false"/>
          <w:color w:val="000000"/>
          <w:sz w:val="22"/>
        </w:rPr>
        <w:t>A business’s leased or contract employee may be included in the base employment level, as a created job, or as a retained job only if the following requirements are met: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business receiving the tax incentives or project completion assistance has a legally binding contract with a third-party provider to provide the leased or contract employee.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contract between the third-party provider and the business specifically requires the third-party provider to pay the wages and benefits at the levels required and for the time period required by the authority as conditions of the award to the business.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contract between the third-party provider and the business specifically requires the third-party provider to submit payroll records to the authority, in form and content and as frequently as required by the authority, for purposes of verifying that the business’s job creation/retention and benefit requirements are being met.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contract between the third-party provider and the business specifically authorizes the authority, or its authorized representatives, to access the third-party provider’s records related to the funded project.</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business receiving the tax incentives or project completion assistance agrees to be contractually liable to the authority for the performance or nonperformance of the third-party provider.</w:t>
      </w:r>
    </w:p>
    <w:p>
      <w:pPr>
        <w:spacing w:before="0" w:after="0"/>
        <w:ind w:left="120"/>
        <w:jc w:val="both"/>
      </w:pPr>
      <w:r>
        <w:rPr>
          <w:rFonts w:ascii="Times New Roman" w:hAnsi="Times New Roman"/>
          <w:b/>
          <w:i w:val="false"/>
          <w:color w:val="000000"/>
          <w:sz w:val="22"/>
        </w:rPr>
        <w:t>68.7(6)</w:t>
      </w:r>
      <w:r>
        <w:rPr>
          <w:rFonts w:ascii="Times New Roman" w:hAnsi="Times New Roman"/>
          <w:b w:val="false"/>
          <w:i w:val="false"/>
          <w:color w:val="000000"/>
          <w:sz w:val="22"/>
        </w:rPr>
        <w:t> </w:t>
      </w:r>
      <w:r>
        <w:rPr>
          <w:rFonts w:ascii="Times New Roman" w:hAnsi="Times New Roman"/>
          <w:b w:val="false"/>
          <w:i/>
          <w:color w:val="000000"/>
          <w:sz w:val="22"/>
        </w:rPr>
        <w:t xml:space="preserve">Remote employees. </w:t>
      </w:r>
      <w:r>
        <w:rPr>
          <w:rFonts w:ascii="Times New Roman" w:hAnsi="Times New Roman"/>
          <w:b w:val="false"/>
          <w:i w:val="false"/>
          <w:color w:val="000000"/>
          <w:sz w:val="22"/>
        </w:rPr>
        <w:t>Employees with a reasonable connection to a project location who work remotely may be included in the base employment level, as a created job, or as a retained job as established by the authority at the time of application. To determine whether employees who work remotely should be included, the authority will consider a business’s policies on establishing remote work locations for employees, reporting structures, percentage of time worked at the project location, and the distance of employees’ remote work locations from the project location. Only employees who work remotely within a defined geographic area established by the authority will be included. Whether an employee who works remotely is included in the base employment level, as a created job, or as a retained job pursuant to this subrule shall be solely within the discretion of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261—68.8</w:t>
      </w:r>
      <w:r>
        <w:rPr>
          <w:rFonts w:ascii="Times New Roman" w:hAnsi="Times New Roman"/>
          <w:b/>
          <w:i w:val="false"/>
          <w:color w:val="000000"/>
          <w:sz w:val="22"/>
        </w:rPr>
        <w:t xml:space="preserve">(15) </w:t>
      </w:r>
      <w:r>
        <w:rPr>
          <w:rFonts w:ascii="Times New Roman" w:hAnsi="Times New Roman"/>
          <w:b/>
          <w:i w:val="false"/>
          <w:color w:val="000000"/>
          <w:sz w:val="22"/>
        </w:rPr>
        <w:t xml:space="preserve">Authority procedure for establishing wage requirements. </w:t>
      </w:r>
      <w:r>
        <w:rPr>
          <w:rFonts w:ascii="Times New Roman" w:hAnsi="Times New Roman"/>
          <w:b w:val="false"/>
          <w:i w:val="false"/>
          <w:color w:val="000000"/>
          <w:sz w:val="22"/>
        </w:rPr>
        <w:t xml:space="preserve">Created or retained jobs shall meet the qualifying wage threshold requirements as established pursuant to this rule and as indicated in an agreement entered into pursuant to Iowa Code section </w:t>
      </w:r>
      <w:hyperlink r:id="rId66">
        <w:r>
          <w:rPr>
            <w:rStyle w:val="Hyperlink"/>
            <w:rFonts w:ascii="Times New Roman" w:hAnsi="Times New Roman"/>
            <w:b w:val="false"/>
            <w:i w:val="false"/>
            <w:color w:val="000000"/>
            <w:sz w:val="22"/>
          </w:rPr>
          <w:t>15.330</w:t>
        </w:r>
      </w:hyperlink>
      <w:r>
        <w:rPr>
          <w:rFonts w:ascii="Times New Roman" w:hAnsi="Times New Roman"/>
          <w:b w:val="false"/>
          <w:i w:val="false"/>
          <w:color w:val="000000"/>
          <w:sz w:val="22"/>
        </w:rPr>
        <w:t xml:space="preserve">. Jobs that do not meet the qualifying wage threshold requirements will not be counted toward a business’s job creation or job retention obligations. </w:t>
      </w:r>
    </w:p>
    <w:p>
      <w:pPr>
        <w:spacing w:before="0" w:after="0"/>
        <w:ind w:left="120"/>
        <w:jc w:val="both"/>
      </w:pPr>
      <w:r>
        <w:rPr>
          <w:rFonts w:ascii="Times New Roman" w:hAnsi="Times New Roman"/>
          <w:b/>
          <w:i w:val="false"/>
          <w:color w:val="000000"/>
          <w:sz w:val="22"/>
        </w:rPr>
        <w:t>68.8(1)</w:t>
      </w:r>
      <w:r>
        <w:rPr>
          <w:rFonts w:ascii="Times New Roman" w:hAnsi="Times New Roman"/>
          <w:b w:val="false"/>
          <w:i w:val="false"/>
          <w:color w:val="000000"/>
          <w:sz w:val="22"/>
        </w:rPr>
        <w:t> </w:t>
      </w:r>
      <w:r>
        <w:rPr>
          <w:rFonts w:ascii="Times New Roman" w:hAnsi="Times New Roman"/>
          <w:b w:val="false"/>
          <w:i w:val="false"/>
          <w:color w:val="000000"/>
          <w:sz w:val="22"/>
        </w:rPr>
        <w:t>The authority will update the qualifying wage thresholds annually each fiscal year. The thresholds will take effect on September 1 of each fiscal year and remain in effect until August 31 of the following fiscal year. If the authority determines that the laborshed wage of a laborshed area would increase by more than one dollar per hour, the authority will limit the increase to the qualifying wage threshold for that laborshed area for that annual update to one dollar per hour.</w:t>
      </w:r>
    </w:p>
    <w:p>
      <w:pPr>
        <w:spacing w:before="0" w:after="0"/>
        <w:ind w:left="120"/>
        <w:jc w:val="both"/>
      </w:pPr>
      <w:r>
        <w:rPr>
          <w:rFonts w:ascii="Times New Roman" w:hAnsi="Times New Roman"/>
          <w:b/>
          <w:i w:val="false"/>
          <w:color w:val="000000"/>
          <w:sz w:val="22"/>
        </w:rPr>
        <w:t>68.8(2)</w:t>
      </w:r>
      <w:r>
        <w:rPr>
          <w:rFonts w:ascii="Times New Roman" w:hAnsi="Times New Roman"/>
          <w:b w:val="false"/>
          <w:i w:val="false"/>
          <w:color w:val="000000"/>
          <w:sz w:val="22"/>
        </w:rPr>
        <w:t> </w:t>
      </w:r>
      <w:r>
        <w:rPr>
          <w:rFonts w:ascii="Times New Roman" w:hAnsi="Times New Roman"/>
          <w:b w:val="false"/>
          <w:i w:val="false"/>
          <w:color w:val="000000"/>
          <w:sz w:val="22"/>
        </w:rPr>
        <w:t>The authority will calculate the laborshed wage as follows: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most current covered wage and employment data available from the department of workforce development will be used.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wage will be computed as a mean wage figure and represented in terms of an hourly wage rate.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Only the wages paid by employers for jobs performed within the first two zones of a laborshed area will be included.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wages paid by employers in the following categories will be excluded from the calculation: government, retail trade, health care and social assistance, and accommodations and food service. The wages paid by employers in all other categories will be included in the calculation.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To the extent that a laborshed area includes zip codes from states other than Iowa, the wages paid by employers in those zip codes may be included if the department of workforce development has finalized a data-sharing agreement with the state in question and has received the necessary data.</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Only those wages within two standard deviations from the mean wage will be included.</w:t>
      </w:r>
    </w:p>
    <w:p>
      <w:pPr>
        <w:spacing w:before="0" w:after="0"/>
        <w:ind w:left="120"/>
        <w:jc w:val="both"/>
      </w:pPr>
      <w:r>
        <w:rPr>
          <w:rFonts w:ascii="Times New Roman" w:hAnsi="Times New Roman"/>
          <w:b/>
          <w:i w:val="false"/>
          <w:color w:val="000000"/>
          <w:sz w:val="22"/>
        </w:rPr>
        <w:t>68.8(3)</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purposes of establishing wage requirements, the authority may designate a county that does not meet at least three of the criteria listed in Iowa Code section </w:t>
      </w:r>
      <w:hyperlink r:id="rId67">
        <w:r>
          <w:rPr>
            <w:rStyle w:val="Hyperlink"/>
            <w:rFonts w:ascii="Times New Roman" w:hAnsi="Times New Roman"/>
            <w:b w:val="false"/>
            <w:i w:val="false"/>
            <w:color w:val="000000"/>
            <w:sz w:val="22"/>
          </w:rPr>
          <w:t>15.335C(1)</w:t>
        </w:r>
      </w:hyperlink>
      <w:r>
        <w:rPr>
          <w:rFonts w:ascii="Times New Roman" w:hAnsi="Times New Roman"/>
          <w:b w:val="false"/>
          <w:i w:val="false"/>
          <w:color w:val="000000"/>
          <w:sz w:val="22"/>
        </w:rPr>
        <w:t xml:space="preserve"> as an economically distressed area if a business located in the county experiences a layoff or a closure that has a significant impact on a community within the county.</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Factors the authority will consider in determining whether a layoff or closure has a significant impact on a community within the county include but are not limited to total number of employees impacted; percentage of the applicable laborshed impacted; number of employees impacted as a percentage of population; current unemployment rate; and unemployment rate, including the employees affected by a layoff or closure.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city or county shall request designation of a county as an economically distressed area, pursuant to this subrule, in writing. Such requests are subject to approval by the board. Requests may be made simultaneously with a project application that would qualify for a lower qualifying wage threshold requirement pursuant to this subrule if the request is approved.</w:t>
      </w:r>
    </w:p>
    <w:p>
      <w:pPr>
        <w:spacing w:before="0" w:after="0"/>
        <w:ind w:left="120"/>
        <w:jc w:val="both"/>
      </w:pPr>
      <w:r>
        <w:rPr>
          <w:rFonts w:ascii="Times New Roman" w:hAnsi="Times New Roman"/>
          <w:b/>
          <w:i w:val="false"/>
          <w:color w:val="000000"/>
          <w:sz w:val="22"/>
        </w:rPr>
        <w:t>68.8(4)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will update the list of economically distressed areas, including those designated pursuant to subrule </w:t>
      </w:r>
      <w:hyperlink r:id="rId68">
        <w:r>
          <w:rPr>
            <w:rStyle w:val="Hyperlink"/>
            <w:rFonts w:ascii="Times New Roman" w:hAnsi="Times New Roman"/>
            <w:b w:val="false"/>
            <w:i w:val="false"/>
            <w:color w:val="000000"/>
            <w:sz w:val="22"/>
          </w:rPr>
          <w:t>68.8(3)</w:t>
        </w:r>
      </w:hyperlink>
      <w:r>
        <w:rPr>
          <w:rFonts w:ascii="Times New Roman" w:hAnsi="Times New Roman"/>
          <w:b w:val="false"/>
          <w:i w:val="false"/>
          <w:color w:val="000000"/>
          <w:sz w:val="22"/>
        </w:rPr>
        <w:t xml:space="preserve">, according to the same schedule as the qualifying wage thresholds are updated pursuant to subrule </w:t>
      </w:r>
      <w:hyperlink r:id="rId69">
        <w:r>
          <w:rPr>
            <w:rStyle w:val="Hyperlink"/>
            <w:rFonts w:ascii="Times New Roman" w:hAnsi="Times New Roman"/>
            <w:b w:val="false"/>
            <w:i w:val="false"/>
            <w:color w:val="000000"/>
            <w:sz w:val="22"/>
          </w:rPr>
          <w:t>68.8(1)</w:t>
        </w:r>
      </w:hyperlink>
      <w:r>
        <w:rPr>
          <w:rFonts w:ascii="Times New Roman" w:hAnsi="Times New Roman"/>
          <w:b w:val="false"/>
          <w:i w:val="false"/>
          <w:color w:val="000000"/>
          <w:sz w:val="22"/>
        </w:rPr>
        <w:t xml:space="preserve">. Designations of economically distressed areas will apply in the same manner as wage thresholds are applied as described in subrule </w:t>
      </w:r>
      <w:hyperlink r:id="rId70">
        <w:r>
          <w:rPr>
            <w:rStyle w:val="Hyperlink"/>
            <w:rFonts w:ascii="Times New Roman" w:hAnsi="Times New Roman"/>
            <w:b w:val="false"/>
            <w:i w:val="false"/>
            <w:color w:val="000000"/>
            <w:sz w:val="22"/>
          </w:rPr>
          <w:t>68.3(2)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68.8(5)</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may consult with the brownfield redevelopment advisory council established pursuant to Iowa Code section </w:t>
      </w:r>
      <w:hyperlink r:id="rId71">
        <w:r>
          <w:rPr>
            <w:rStyle w:val="Hyperlink"/>
            <w:rFonts w:ascii="Times New Roman" w:hAnsi="Times New Roman"/>
            <w:b w:val="false"/>
            <w:i w:val="false"/>
            <w:color w:val="000000"/>
            <w:sz w:val="22"/>
          </w:rPr>
          <w:t>15.294</w:t>
        </w:r>
      </w:hyperlink>
      <w:r>
        <w:rPr>
          <w:rFonts w:ascii="Times New Roman" w:hAnsi="Times New Roman"/>
          <w:b w:val="false"/>
          <w:i w:val="false"/>
          <w:color w:val="000000"/>
          <w:sz w:val="22"/>
        </w:rPr>
        <w:t xml:space="preserve"> in order to make a determination as to whether a project site is a brownfield site or a grayfield site for purposes of determining wage requirements. The determination as to whether a project site qualifies as a brownfield site or a grayfield site shall be within the discretion of the authority. In making such determinations, to the extent it is possible to do so, the authority will apply the same definition in substantially the same manner as similar definitions are applied by the brownfield redevelopment advisory council. A project that is not a brownfield site or a grayfield site will be presumed to be a greenfield site.</w:t>
      </w:r>
    </w:p>
    <w:p>
      <w:pPr>
        <w:spacing w:before="0" w:after="0"/>
        <w:ind w:left="120"/>
        <w:jc w:val="both"/>
      </w:pPr>
      <w:r>
        <w:rPr>
          <w:rFonts w:ascii="Times New Roman" w:hAnsi="Times New Roman"/>
          <w:b/>
          <w:i w:val="false"/>
          <w:color w:val="000000"/>
          <w:sz w:val="22"/>
        </w:rPr>
        <w:t>68.8(6)</w:t>
      </w:r>
      <w:r>
        <w:rPr>
          <w:rFonts w:ascii="Times New Roman" w:hAnsi="Times New Roman"/>
          <w:b w:val="false"/>
          <w:i w:val="false"/>
          <w:color w:val="000000"/>
          <w:sz w:val="22"/>
        </w:rPr>
        <w:t> </w:t>
      </w:r>
      <w:r>
        <w:rPr>
          <w:rFonts w:ascii="Times New Roman" w:hAnsi="Times New Roman"/>
          <w:b w:val="false"/>
          <w:i w:val="false"/>
          <w:color w:val="000000"/>
          <w:sz w:val="22"/>
        </w:rPr>
        <w:t>To determine the wages paid to the employees of an eligible business, the authority will include only monetary compensation, represented in terms of an hourly rate, paid by an employer to an employee for work or services provided, typically on a weekly or biweekly basis. The wage will not include nonregular forms of compensation, such as bonuses, unusual overtime pay, commissions, stock options, pensions, retirement or death benefits, unemployment benefits, life or other insurance, or other fringe benefits.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261—68.9</w:t>
      </w:r>
      <w:r>
        <w:rPr>
          <w:rFonts w:ascii="Times New Roman" w:hAnsi="Times New Roman"/>
          <w:b/>
          <w:i w:val="false"/>
          <w:color w:val="000000"/>
          <w:sz w:val="22"/>
        </w:rPr>
        <w:t xml:space="preserve">(15) </w:t>
      </w:r>
      <w:r>
        <w:rPr>
          <w:rFonts w:ascii="Times New Roman" w:hAnsi="Times New Roman"/>
          <w:b/>
          <w:i w:val="false"/>
          <w:color w:val="000000"/>
          <w:sz w:val="22"/>
        </w:rPr>
        <w:t xml:space="preserve">Authority procedure for establishing investment requirements. </w:t>
      </w:r>
    </w:p>
    <w:p>
      <w:pPr>
        <w:spacing w:before="0" w:after="0"/>
        <w:ind w:left="120"/>
        <w:jc w:val="both"/>
      </w:pPr>
      <w:r>
        <w:rPr>
          <w:rFonts w:ascii="Times New Roman" w:hAnsi="Times New Roman"/>
          <w:b/>
          <w:i w:val="false"/>
          <w:color w:val="000000"/>
          <w:sz w:val="22"/>
        </w:rPr>
        <w:t>68.9(1)</w:t>
      </w:r>
      <w:r>
        <w:rPr>
          <w:rFonts w:ascii="Times New Roman" w:hAnsi="Times New Roman"/>
          <w:b w:val="false"/>
          <w:i w:val="false"/>
          <w:color w:val="000000"/>
          <w:sz w:val="22"/>
        </w:rPr>
        <w:t> </w:t>
      </w:r>
      <w:r>
        <w:rPr>
          <w:rFonts w:ascii="Times New Roman" w:hAnsi="Times New Roman"/>
          <w:b w:val="false"/>
          <w:i/>
          <w:color w:val="000000"/>
          <w:sz w:val="22"/>
        </w:rPr>
        <w:t xml:space="preserve">Capital investment. </w:t>
      </w:r>
      <w:r>
        <w:rPr>
          <w:rFonts w:ascii="Times New Roman" w:hAnsi="Times New Roman"/>
          <w:b w:val="false"/>
          <w:i w:val="false"/>
          <w:color w:val="000000"/>
          <w:sz w:val="22"/>
        </w:rPr>
        <w:t>The authority reports on the amount of capital investment involved with funded projects. This rule lists the categories of expenditures that are included when the authority determines the amount of capital investment associated with a project.</w:t>
      </w:r>
    </w:p>
    <w:p>
      <w:pPr>
        <w:spacing w:before="0" w:after="0"/>
        <w:ind w:left="120"/>
        <w:jc w:val="both"/>
      </w:pPr>
      <w:r>
        <w:rPr>
          <w:rFonts w:ascii="Times New Roman" w:hAnsi="Times New Roman"/>
          <w:b/>
          <w:i w:val="false"/>
          <w:color w:val="000000"/>
          <w:sz w:val="22"/>
        </w:rPr>
        <w:t>68.9(2)</w:t>
      </w:r>
      <w:r>
        <w:rPr>
          <w:rFonts w:ascii="Times New Roman" w:hAnsi="Times New Roman"/>
          <w:b w:val="false"/>
          <w:i w:val="false"/>
          <w:color w:val="000000"/>
          <w:sz w:val="22"/>
        </w:rPr>
        <w:t> </w:t>
      </w:r>
      <w:r>
        <w:rPr>
          <w:rFonts w:ascii="Times New Roman" w:hAnsi="Times New Roman"/>
          <w:b w:val="false"/>
          <w:i/>
          <w:color w:val="000000"/>
          <w:sz w:val="22"/>
        </w:rPr>
        <w:t xml:space="preserve">Qualifying investment for tax credit programs. </w:t>
      </w:r>
      <w:r>
        <w:rPr>
          <w:rFonts w:ascii="Times New Roman" w:hAnsi="Times New Roman"/>
          <w:b w:val="false"/>
          <w:i w:val="false"/>
          <w:color w:val="000000"/>
          <w:sz w:val="22"/>
        </w:rPr>
        <w:t>Minimum investment thresholds must be met for the project to be considered to receive an award. Not all expenditures count toward meeting the investment threshold. This rule identifies the categories of expenditures that can be included when the amount of investment is calculated for purposes of meeting program eligibility threshold requirements.</w:t>
      </w:r>
    </w:p>
    <w:p>
      <w:pPr>
        <w:spacing w:before="0" w:after="0"/>
        <w:ind w:left="120"/>
        <w:jc w:val="both"/>
      </w:pPr>
      <w:r>
        <w:rPr>
          <w:rFonts w:ascii="Times New Roman" w:hAnsi="Times New Roman"/>
          <w:b/>
          <w:i w:val="false"/>
          <w:color w:val="000000"/>
          <w:sz w:val="22"/>
        </w:rPr>
        <w:t>68.9(3)</w:t>
      </w:r>
      <w:r>
        <w:rPr>
          <w:rFonts w:ascii="Times New Roman" w:hAnsi="Times New Roman"/>
          <w:b w:val="false"/>
          <w:i w:val="false"/>
          <w:color w:val="000000"/>
          <w:sz w:val="22"/>
        </w:rPr>
        <w:t> </w:t>
      </w:r>
      <w:r>
        <w:rPr>
          <w:rFonts w:ascii="Times New Roman" w:hAnsi="Times New Roman"/>
          <w:b w:val="false"/>
          <w:i/>
          <w:color w:val="000000"/>
          <w:sz w:val="22"/>
        </w:rPr>
        <w:t xml:space="preserve">Investment qualifying for tax credits. </w:t>
      </w:r>
      <w:r>
        <w:rPr>
          <w:rFonts w:ascii="Times New Roman" w:hAnsi="Times New Roman"/>
          <w:b w:val="false"/>
          <w:i w:val="false"/>
          <w:color w:val="000000"/>
          <w:sz w:val="22"/>
        </w:rPr>
        <w:t>Not all of the expenditures categories used to calculate the investment amount needed to meet program threshold requirements qualify for purposes of claiming the tax credits. The following table identifies the expenditures that do not qualify for tax credits.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797"/>
        <w:gridCol w:w="2797"/>
        <w:gridCol w:w="2798"/>
        <w:gridCol w:w="2798"/>
      </w:tblGrid>
      <w:tr>
        <w:trPr>
          <w:trHeight w:val="435" w:hRule="atLeast"/>
        </w:trPr>
        <w:tc>
          <w:tcPr>
            <w:tcW w:w="2797" w:type="dxa"/>
            <w:tcBorders>
              <w:bottom w:val="single" w:color="000000" w:sz="8"/>
              <w:right w:val="single" w:color="000000" w:sz="8"/>
            </w:tcBorders>
            <w:shd w:fill="d0d0d0"/>
            <w:tcMar>
              <w:top w:w="30" w:type="dxa"/>
              <w:left w:w="30" w:type="dxa"/>
              <w:bottom w:w="15" w:type="dxa"/>
              <w:right w:w="30" w:type="dxa"/>
            </w:tcMar>
            <w:vAlign w:val="top"/>
          </w:tcPr>
          <w:p/>
        </w:tc>
        <w:tc>
          <w:tcPr>
            <w:tcW w:w="2797"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Capital Investment</w:t>
            </w:r>
            <w:r>
              <w:rPr>
                <w:rFonts w:ascii="Times New Roman" w:hAnsi="Times New Roman"/>
                <w:b w:val="false"/>
                <w:i w:val="false"/>
                <w:color w:val="000000"/>
                <w:sz w:val="18"/>
                <w:vertAlign w:val="superscript"/>
              </w:rPr>
              <w:t>1</w:t>
            </w:r>
          </w:p>
        </w:tc>
        <w:tc>
          <w:tcPr>
            <w:tcW w:w="2798" w:type="dxa"/>
            <w:tcBorders>
              <w:bottom w:val="single" w:color="000000" w:sz="8"/>
              <w:right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Qualifying Investment</w:t>
            </w:r>
            <w:r>
              <w:rPr>
                <w:rFonts w:ascii="Times New Roman" w:hAnsi="Times New Roman"/>
                <w:b w:val="false"/>
                <w:i w:val="false"/>
                <w:color w:val="000000"/>
                <w:sz w:val="18"/>
                <w:vertAlign w:val="superscript"/>
              </w:rPr>
              <w:t>2</w:t>
            </w:r>
          </w:p>
        </w:tc>
        <w:tc>
          <w:tcPr>
            <w:tcW w:w="2798" w:type="dxa"/>
            <w:tcBorders>
              <w:bottom w:val="single" w:color="000000" w:sz="8"/>
            </w:tcBorders>
            <w:shd w:fill="d0d0d0"/>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Investment Qualifying for Tax Credits</w:t>
            </w:r>
            <w:r>
              <w:rPr>
                <w:rFonts w:ascii="Times New Roman" w:hAnsi="Times New Roman"/>
                <w:b w:val="false"/>
                <w:i w:val="false"/>
                <w:color w:val="000000"/>
                <w:sz w:val="18"/>
                <w:vertAlign w:val="superscript"/>
              </w:rPr>
              <w:t>3</w:t>
            </w:r>
          </w:p>
        </w:tc>
      </w:tr>
      <w:tr>
        <w:trPr>
          <w:trHeight w:val="225" w:hRule="atLeast"/>
        </w:trPr>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Land acquisition</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r>
      <w:tr>
        <w:trPr>
          <w:trHeight w:val="225" w:hRule="atLeast"/>
        </w:trPr>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Site preparation</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r>
      <w:tr>
        <w:trPr>
          <w:trHeight w:val="225" w:hRule="atLeast"/>
        </w:trPr>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Building acquisition</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r>
      <w:tr>
        <w:trPr>
          <w:trHeight w:val="225" w:hRule="atLeast"/>
        </w:trPr>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Building construction</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r>
      <w:tr>
        <w:trPr>
          <w:trHeight w:val="225" w:hRule="atLeast"/>
        </w:trPr>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Building remodeling</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r>
      <w:tr>
        <w:trPr>
          <w:trHeight w:val="225" w:hRule="atLeast"/>
        </w:trPr>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Mfg. machinery &amp; equip.</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r>
      <w:tr>
        <w:trPr>
          <w:trHeight w:val="225" w:hRule="atLeast"/>
        </w:trPr>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Other machinery &amp; equip.</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w:t>
            </w:r>
          </w:p>
        </w:tc>
      </w:tr>
      <w:tr>
        <w:trPr>
          <w:trHeight w:val="225" w:hRule="atLeast"/>
        </w:trPr>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Racking, shelving, etc.</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w:t>
            </w:r>
          </w:p>
        </w:tc>
      </w:tr>
      <w:tr>
        <w:trPr>
          <w:trHeight w:val="225" w:hRule="atLeast"/>
        </w:trPr>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Computer hardware</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r>
      <w:tr>
        <w:trPr>
          <w:trHeight w:val="225" w:hRule="atLeast"/>
        </w:trPr>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Computer software</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w:t>
            </w:r>
          </w:p>
        </w:tc>
      </w:tr>
      <w:tr>
        <w:trPr>
          <w:trHeight w:val="225" w:hRule="atLeast"/>
        </w:trPr>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Furniture &amp; fixtures</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w:t>
            </w:r>
          </w:p>
        </w:tc>
      </w:tr>
      <w:tr>
        <w:trPr>
          <w:trHeight w:val="225" w:hRule="atLeast"/>
        </w:trPr>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Working capital</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w:t>
            </w:r>
          </w:p>
        </w:tc>
      </w:tr>
      <w:tr>
        <w:trPr>
          <w:trHeight w:val="225" w:hRule="atLeast"/>
        </w:trPr>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Research &amp; development</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w:t>
            </w:r>
          </w:p>
        </w:tc>
      </w:tr>
      <w:tr>
        <w:trPr>
          <w:trHeight w:val="225" w:hRule="atLeast"/>
        </w:trPr>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Job training</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w:t>
            </w:r>
          </w:p>
        </w:tc>
      </w:tr>
      <w:tr>
        <w:trPr>
          <w:trHeight w:val="225" w:hRule="atLeast"/>
        </w:trPr>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Capital or synthetic lease</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No</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r>
      <w:tr>
        <w:trPr>
          <w:trHeight w:val="255" w:hRule="atLeast"/>
        </w:trPr>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Rail improvements</w:t>
            </w:r>
            <w:r>
              <w:rPr>
                <w:rFonts w:ascii="Times New Roman" w:hAnsi="Times New Roman"/>
                <w:b w:val="false"/>
                <w:i w:val="false"/>
                <w:color w:val="000000"/>
                <w:sz w:val="18"/>
                <w:vertAlign w:val="superscript"/>
              </w:rPr>
              <w:t>4</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r>
      <w:tr>
        <w:trPr>
          <w:trHeight w:val="255" w:hRule="atLeast"/>
        </w:trPr>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Public infrastructure</w:t>
            </w:r>
            <w:r>
              <w:rPr>
                <w:rFonts w:ascii="Times New Roman" w:hAnsi="Times New Roman"/>
                <w:b w:val="false"/>
                <w:i w:val="false"/>
                <w:color w:val="000000"/>
                <w:sz w:val="18"/>
                <w:vertAlign w:val="superscript"/>
              </w:rPr>
              <w:t>5</w:t>
            </w:r>
          </w:p>
        </w:tc>
        <w:tc>
          <w:tcPr>
            <w:tcW w:w="279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c>
          <w:tcPr>
            <w:tcW w:w="2798"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Yes</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“Capital investment” is used to calculate project investment on depreciable assets.</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“Qualifying investment” is used to determine eligibility for the program.</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“Investment qualifying for tax credits” is used to calculate the maximum available tax credit award for a project.</w:t>
      </w:r>
    </w:p>
    <w:p>
      <w:pPr>
        <w:spacing w:before="0" w:after="0"/>
        <w:ind w:left="120"/>
        <w:jc w:val="both"/>
      </w:pPr>
      <w:r>
        <w:rPr>
          <w:rFonts w:ascii="Times New Roman" w:hAnsi="Times New Roman"/>
          <w:b w:val="false"/>
          <w:i w:val="false"/>
          <w:color w:val="000000"/>
          <w:sz w:val="18"/>
          <w:vertAlign w:val="superscript"/>
        </w:rPr>
        <w:t>4</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“Rail improvements” includes hard construction costs for rail improvements. (These costs are included as part of construction or site preparation costs.)</w:t>
      </w:r>
    </w:p>
    <w:p>
      <w:pPr>
        <w:spacing w:before="0" w:after="0"/>
        <w:ind w:left="120"/>
        <w:jc w:val="both"/>
      </w:pPr>
      <w:r>
        <w:rPr>
          <w:rFonts w:ascii="Times New Roman" w:hAnsi="Times New Roman"/>
          <w:b w:val="false"/>
          <w:i w:val="false"/>
          <w:color w:val="000000"/>
          <w:sz w:val="18"/>
          <w:vertAlign w:val="superscript"/>
        </w:rPr>
        <w:t>5</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“Public infrastructure” includes any publicly owned utility service, such as water, sewer, storm sewer or roadway construction and improvements. (These costs are included as part of construction costs.)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8145C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72">
        <w:r>
          <w:rPr>
            <w:rStyle w:val="Hyperlink"/>
            <w:rFonts w:ascii="Times New Roman" w:hAnsi="Times New Roman"/>
            <w:b w:val="false"/>
            <w:i w:val="false"/>
            <w:color w:val="000000"/>
            <w:sz w:val="22"/>
          </w:rPr>
          <w:t>15, subchapter II, part 13</w:t>
        </w:r>
      </w:hyperlink>
      <w:r>
        <w:rPr>
          <w:rFonts w:ascii="Times New Roman" w:hAnsi="Times New Roman"/>
          <w:b w:val="false"/>
          <w:i w:val="false"/>
          <w:color w:val="000000"/>
          <w:sz w:val="22"/>
        </w:rPr>
        <w:t xml:space="preserve">, and section </w:t>
      </w:r>
      <w:hyperlink r:id="rId73">
        <w:r>
          <w:rPr>
            <w:rStyle w:val="Hyperlink"/>
            <w:rFonts w:ascii="Times New Roman" w:hAnsi="Times New Roman"/>
            <w:b w:val="false"/>
            <w:i w:val="false"/>
            <w:color w:val="000000"/>
            <w:sz w:val="22"/>
          </w:rPr>
          <w:t>15A.1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7/7/05—published 8/3/05, effective 7/7/05]</w:t>
      </w:r>
    </w:p>
    <w:p>
      <w:pPr>
        <w:spacing w:before="0" w:after="0"/>
        <w:ind w:left="120"/>
        <w:jc w:val="center"/>
      </w:pPr>
      <w:r>
        <w:rPr>
          <w:rFonts w:ascii="Times New Roman" w:hAnsi="Times New Roman"/>
          <w:b w:val="false"/>
          <w:i w:val="false"/>
          <w:color w:val="000000"/>
          <w:sz w:val="21"/>
        </w:rPr>
        <w:t>[Filed 10/21/05, Notice 8/3/05—published 11/9/05, effective 12/14/05]</w:t>
      </w:r>
    </w:p>
    <w:p>
      <w:pPr>
        <w:spacing w:before="0" w:after="0"/>
        <w:ind w:left="120"/>
        <w:jc w:val="center"/>
      </w:pPr>
      <w:r>
        <w:rPr>
          <w:rFonts w:ascii="Times New Roman" w:hAnsi="Times New Roman"/>
          <w:b w:val="false"/>
          <w:i w:val="false"/>
          <w:color w:val="000000"/>
          <w:sz w:val="21"/>
        </w:rPr>
        <w:t>[Filed emergency 7/19/06—published 8/16/06, effective 7/19/06]</w:t>
      </w:r>
    </w:p>
    <w:p>
      <w:pPr>
        <w:spacing w:before="0" w:after="0"/>
        <w:ind w:left="120"/>
        <w:jc w:val="center"/>
      </w:pPr>
      <w:r>
        <w:rPr>
          <w:rFonts w:ascii="Times New Roman" w:hAnsi="Times New Roman"/>
          <w:b w:val="false"/>
          <w:i w:val="false"/>
          <w:color w:val="000000"/>
          <w:sz w:val="21"/>
        </w:rPr>
        <w:t>[Filed 9/22/06, Notice 8/16/06—published 10/11/066, effective 11/15/06]</w:t>
      </w:r>
    </w:p>
    <w:p>
      <w:pPr>
        <w:spacing w:before="0" w:after="0"/>
        <w:ind w:left="120"/>
        <w:jc w:val="center"/>
      </w:pPr>
      <w:r>
        <w:rPr>
          <w:rFonts w:ascii="Times New Roman" w:hAnsi="Times New Roman"/>
          <w:b w:val="false"/>
          <w:i w:val="false"/>
          <w:color w:val="000000"/>
          <w:sz w:val="21"/>
        </w:rPr>
        <w:t>[Filed emergency 6/15/07—published 7/4/07, effective 6/15/07]</w:t>
      </w:r>
    </w:p>
    <w:p>
      <w:pPr>
        <w:spacing w:before="0" w:after="0"/>
        <w:ind w:left="120"/>
        <w:jc w:val="center"/>
      </w:pPr>
      <w:r>
        <w:rPr>
          <w:rFonts w:ascii="Times New Roman" w:hAnsi="Times New Roman"/>
          <w:b w:val="false"/>
          <w:i w:val="false"/>
          <w:color w:val="000000"/>
          <w:sz w:val="21"/>
        </w:rPr>
        <w:t>[Filed 8/22/07, Notice 7/4/07—published 9/26/07, effective 10/31/07]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10/16/08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7557B</w:t>
      </w:r>
      <w:r>
        <w:rPr>
          <w:rFonts w:ascii="Times New Roman" w:hAnsi="Times New Roman"/>
          <w:b w:val="false"/>
          <w:i w:val="false"/>
          <w:color w:val="000000"/>
          <w:sz w:val="21"/>
        </w:rPr>
        <w:t xml:space="preserve"> (Notice ARC 7315B, IAB 11/5/08)</w:t>
      </w:r>
      <w:r>
        <w:rPr>
          <w:rFonts w:ascii="Times New Roman" w:hAnsi="Times New Roman"/>
          <w:b w:val="false"/>
          <w:i w:val="false"/>
          <w:color w:val="000000"/>
          <w:sz w:val="21"/>
        </w:rPr>
        <w:t>, IAB 2/11/09, effective 3/18/09]</w:t>
      </w:r>
    </w:p>
    <w:p>
      <w:pPr>
        <w:spacing w:before="0" w:after="0"/>
        <w:ind w:left="120"/>
        <w:jc w:val="center"/>
      </w:pPr>
      <w:r>
        <w:rPr>
          <w:rFonts w:ascii="Times New Roman" w:hAnsi="Times New Roman"/>
          <w:b w:val="false"/>
          <w:i w:val="false"/>
          <w:color w:val="000000"/>
          <w:sz w:val="21"/>
        </w:rPr>
        <w:t>[Filed Emergency ARC 7970B, IAB 7/15/09, effective 7/1/09]</w:t>
      </w:r>
    </w:p>
    <w:p>
      <w:pPr>
        <w:spacing w:before="0" w:after="0"/>
        <w:ind w:left="120"/>
        <w:jc w:val="center"/>
      </w:pPr>
      <w:r>
        <w:rPr>
          <w:rFonts w:ascii="Times New Roman" w:hAnsi="Times New Roman"/>
          <w:b w:val="false"/>
          <w:i w:val="false"/>
          <w:color w:val="000000"/>
          <w:sz w:val="21"/>
        </w:rPr>
        <w:t>[Filed ARC 8145B</w:t>
      </w:r>
      <w:r>
        <w:rPr>
          <w:rFonts w:ascii="Times New Roman" w:hAnsi="Times New Roman"/>
          <w:b w:val="false"/>
          <w:i w:val="false"/>
          <w:color w:val="000000"/>
          <w:sz w:val="21"/>
        </w:rPr>
        <w:t xml:space="preserve"> (Notice ARC 7971B, IAB 7/15/09)</w:t>
      </w:r>
      <w:r>
        <w:rPr>
          <w:rFonts w:ascii="Times New Roman" w:hAnsi="Times New Roman"/>
          <w:b w:val="false"/>
          <w:i w:val="false"/>
          <w:color w:val="000000"/>
          <w:sz w:val="21"/>
        </w:rPr>
        <w:t>, IAB 9/23/09, effective 10/28/09]</w:t>
      </w:r>
    </w:p>
    <w:p>
      <w:pPr>
        <w:spacing w:before="0" w:after="0"/>
        <w:ind w:left="120"/>
        <w:jc w:val="center"/>
      </w:pPr>
      <w:r>
        <w:rPr>
          <w:rFonts w:ascii="Times New Roman" w:hAnsi="Times New Roman"/>
          <w:b w:val="false"/>
          <w:i w:val="false"/>
          <w:color w:val="000000"/>
          <w:sz w:val="21"/>
        </w:rPr>
        <w:t>[Filed ARC 0442C</w:t>
      </w:r>
      <w:r>
        <w:rPr>
          <w:rFonts w:ascii="Times New Roman" w:hAnsi="Times New Roman"/>
          <w:b w:val="false"/>
          <w:i w:val="false"/>
          <w:color w:val="000000"/>
          <w:sz w:val="21"/>
        </w:rPr>
        <w:t xml:space="preserve"> (Notice ARC 0293C, IAB 8/22/12)</w:t>
      </w:r>
      <w:r>
        <w:rPr>
          <w:rFonts w:ascii="Times New Roman" w:hAnsi="Times New Roman"/>
          <w:b w:val="false"/>
          <w:i w:val="false"/>
          <w:color w:val="000000"/>
          <w:sz w:val="21"/>
        </w:rPr>
        <w:t>, IAB 11/14/12, effective 12/19/12]</w:t>
      </w:r>
    </w:p>
    <w:p>
      <w:pPr>
        <w:spacing w:before="0" w:after="0"/>
        <w:ind w:left="120"/>
        <w:jc w:val="center"/>
      </w:pPr>
      <w:r>
        <w:rPr>
          <w:rFonts w:ascii="Times New Roman" w:hAnsi="Times New Roman"/>
          <w:b w:val="false"/>
          <w:i w:val="false"/>
          <w:color w:val="000000"/>
          <w:sz w:val="21"/>
        </w:rPr>
        <w:t>[Filed ARC 1801C</w:t>
      </w:r>
      <w:r>
        <w:rPr>
          <w:rFonts w:ascii="Times New Roman" w:hAnsi="Times New Roman"/>
          <w:b w:val="false"/>
          <w:i w:val="false"/>
          <w:color w:val="000000"/>
          <w:sz w:val="21"/>
        </w:rPr>
        <w:t xml:space="preserve"> (Notice ARC 1628C, IAB 9/17/14)</w:t>
      </w:r>
      <w:r>
        <w:rPr>
          <w:rFonts w:ascii="Times New Roman" w:hAnsi="Times New Roman"/>
          <w:b w:val="false"/>
          <w:i w:val="false"/>
          <w:color w:val="000000"/>
          <w:sz w:val="21"/>
        </w:rPr>
        <w:t>, IAB 12/24/14, effective 1/28/15]</w:t>
      </w:r>
    </w:p>
    <w:p>
      <w:pPr>
        <w:spacing w:before="0" w:after="0"/>
        <w:ind w:left="120"/>
        <w:jc w:val="center"/>
      </w:pPr>
      <w:r>
        <w:rPr>
          <w:rFonts w:ascii="Times New Roman" w:hAnsi="Times New Roman"/>
          <w:b w:val="false"/>
          <w:i w:val="false"/>
          <w:color w:val="000000"/>
          <w:sz w:val="21"/>
        </w:rPr>
        <w:t>[Filed ARC 3385C</w:t>
      </w:r>
      <w:r>
        <w:rPr>
          <w:rFonts w:ascii="Times New Roman" w:hAnsi="Times New Roman"/>
          <w:b w:val="false"/>
          <w:i w:val="false"/>
          <w:color w:val="000000"/>
          <w:sz w:val="21"/>
        </w:rPr>
        <w:t xml:space="preserve"> (Notice ARC 2996C, IAB 3/29/17)</w:t>
      </w:r>
      <w:r>
        <w:rPr>
          <w:rFonts w:ascii="Times New Roman" w:hAnsi="Times New Roman"/>
          <w:b w:val="false"/>
          <w:i w:val="false"/>
          <w:color w:val="000000"/>
          <w:sz w:val="21"/>
        </w:rPr>
        <w:t>, IAB 10/11/17, effective 11/15/17]</w:t>
      </w:r>
    </w:p>
    <w:p>
      <w:pPr>
        <w:spacing w:before="0" w:after="0"/>
        <w:ind w:left="120"/>
        <w:jc w:val="center"/>
      </w:pPr>
      <w:r>
        <w:rPr>
          <w:rFonts w:ascii="Times New Roman" w:hAnsi="Times New Roman"/>
          <w:b w:val="false"/>
          <w:i w:val="false"/>
          <w:color w:val="000000"/>
          <w:sz w:val="21"/>
        </w:rPr>
        <w:t>[Filed ARC 6188C</w:t>
      </w:r>
      <w:r>
        <w:rPr>
          <w:rFonts w:ascii="Times New Roman" w:hAnsi="Times New Roman"/>
          <w:b w:val="false"/>
          <w:i w:val="false"/>
          <w:color w:val="000000"/>
          <w:sz w:val="21"/>
        </w:rPr>
        <w:t xml:space="preserve"> (Notice ARC 6046C, IAB 11/17/21)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8145C</w:t>
      </w:r>
      <w:r>
        <w:rPr>
          <w:rFonts w:ascii="Times New Roman" w:hAnsi="Times New Roman"/>
          <w:b w:val="false"/>
          <w:i w:val="false"/>
          <w:color w:val="000000"/>
          <w:sz w:val="21"/>
        </w:rPr>
        <w:t xml:space="preserve"> (Notice ARC 7937C, IAB 5/15/24)</w:t>
      </w:r>
      <w:r>
        <w:rPr>
          <w:rFonts w:ascii="Times New Roman" w:hAnsi="Times New Roman"/>
          <w:b w:val="false"/>
          <w:i w:val="false"/>
          <w:color w:val="000000"/>
          <w:sz w:val="21"/>
        </w:rPr>
        <w:t>, IAB 7/24/24, effective 8/28/24]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pdf" Type="http://schemas.openxmlformats.org/officeDocument/2006/relationships/hyperlink" Id="rId4"/>
    <Relationship TargetMode="External" Target="https://www.legis.iowa.gov/docs/ico/chapter/15.pdf" Type="http://schemas.openxmlformats.org/officeDocument/2006/relationships/hyperlink" Id="rId5"/>
    <Relationship TargetMode="External" Target="https://www.legis.iowa.gov/docs/ico/chapter/15.pdf" Type="http://schemas.openxmlformats.org/officeDocument/2006/relationships/hyperlink" Id="rId6"/>
    <Relationship TargetMode="External" Target="https://www.legis.iowa.gov/docs/ico/chapter/15.pdf" Type="http://schemas.openxmlformats.org/officeDocument/2006/relationships/hyperlink" Id="rId7"/>
    <Relationship TargetMode="External" Target="https://www.legis.iowa.gov/docs/ico/chapter/15.pdf" Type="http://schemas.openxmlformats.org/officeDocument/2006/relationships/hyperlink" Id="rId8"/>
    <Relationship TargetMode="External" Target="https://www.legis.iowa.gov/docs/ico/chapter/15.pdf" Type="http://schemas.openxmlformats.org/officeDocument/2006/relationships/hyperlink" Id="rId9"/>
    <Relationship TargetMode="External" Target="https://www.legis.iowa.gov/docs/ico/chapter/15.pdf" Type="http://schemas.openxmlformats.org/officeDocument/2006/relationships/hyperlink" Id="rId10"/>
    <Relationship TargetMode="External" Target="https://www.legis.iowa.gov/docs/ico/chapter/15.pdf" Type="http://schemas.openxmlformats.org/officeDocument/2006/relationships/hyperlink" Id="rId11"/>
    <Relationship TargetMode="External" Target="https://www.legis.iowa.gov/docs/ico/chapter/15.pdf" Type="http://schemas.openxmlformats.org/officeDocument/2006/relationships/hyperlink" Id="rId12"/>
    <Relationship TargetMode="External" Target="https://www.legis.iowa.gov/docs/ico/chapter/15.pdf" Type="http://schemas.openxmlformats.org/officeDocument/2006/relationships/hyperlink" Id="rId13"/>
    <Relationship TargetMode="External" Target="https://www.legis.iowa.gov/docs/ico/chapter/15.pdf" Type="http://schemas.openxmlformats.org/officeDocument/2006/relationships/hyperlink" Id="rId14"/>
    <Relationship TargetMode="External" Target="https://www.legis.iowa.gov/docs/ico/chapter/15.pdf" Type="http://schemas.openxmlformats.org/officeDocument/2006/relationships/hyperlink" Id="rId15"/>
    <Relationship TargetMode="External" Target="https://www.legis.iowa.gov/docs/ico/chapter/15.pdf" Type="http://schemas.openxmlformats.org/officeDocument/2006/relationships/hyperlink" Id="rId16"/>
    <Relationship TargetMode="External" Target="https://www.legis.iowa.gov/docs/ico/chapter/15.pdf" Type="http://schemas.openxmlformats.org/officeDocument/2006/relationships/hyperlink" Id="rId17"/>
    <Relationship TargetMode="External" Target="https://www.legis.iowa.gov/docs/ico/chapter/15.pdf" Type="http://schemas.openxmlformats.org/officeDocument/2006/relationships/hyperlink" Id="rId18"/>
    <Relationship TargetMode="External" Target="https://www.legis.iowa.gov/docs/ico/chapter/15.pdf" Type="http://schemas.openxmlformats.org/officeDocument/2006/relationships/hyperlink" Id="rId19"/>
    <Relationship TargetMode="External" Target="https://www.legis.iowa.gov/docs/ico/chapter/15.pdf" Type="http://schemas.openxmlformats.org/officeDocument/2006/relationships/hyperlink" Id="rId20"/>
    <Relationship TargetMode="External" Target="https://www.legis.iowa.gov/docs/ico/chapter/15.pdf" Type="http://schemas.openxmlformats.org/officeDocument/2006/relationships/hyperlink" Id="rId21"/>
    <Relationship TargetMode="External" Target="https://www.legis.iowa.gov/docs/ico/chapter/15.pdf" Type="http://schemas.openxmlformats.org/officeDocument/2006/relationships/hyperlink" Id="rId22"/>
    <Relationship TargetMode="External" Target="https://www.legis.iowa.gov/docs/ico/chapter/15.pdf" Type="http://schemas.openxmlformats.org/officeDocument/2006/relationships/hyperlink" Id="rId23"/>
    <Relationship TargetMode="External" Target="https://www.legis.iowa.gov/docs/ico/chapter/15.pdf" Type="http://schemas.openxmlformats.org/officeDocument/2006/relationships/hyperlink" Id="rId24"/>
    <Relationship TargetMode="External" Target="https://www.legis.iowa.gov/docs/ico/chapter/15.pdf" Type="http://schemas.openxmlformats.org/officeDocument/2006/relationships/hyperlink" Id="rId25"/>
    <Relationship TargetMode="External" Target="https://www.legis.iowa.gov/docs/ico/chapter/15.pdf" Type="http://schemas.openxmlformats.org/officeDocument/2006/relationships/hyperlink" Id="rId26"/>
    <Relationship TargetMode="External" Target="https://www.legis.iowa.gov/docs/ico/chapter/15.pdf" Type="http://schemas.openxmlformats.org/officeDocument/2006/relationships/hyperlink" Id="rId27"/>
    <Relationship TargetMode="External" Target="https://www.legis.iowa.gov/docs/ico/chapter/15.pdf" Type="http://schemas.openxmlformats.org/officeDocument/2006/relationships/hyperlink" Id="rId28"/>
    <Relationship TargetMode="External" Target="https://www.legis.iowa.gov/docs/ico/chapter/15.pdf" Type="http://schemas.openxmlformats.org/officeDocument/2006/relationships/hyperlink" Id="rId29"/>
    <Relationship TargetMode="External" Target="https://www.legis.iowa.gov/docs/ico/chapter/15.pdf" Type="http://schemas.openxmlformats.org/officeDocument/2006/relationships/hyperlink" Id="rId30"/>
    <Relationship TargetMode="External" Target="https://www.legis.iowa.gov/docs/ico/chapter/423.pdf" Type="http://schemas.openxmlformats.org/officeDocument/2006/relationships/hyperlink" Id="rId31"/>
    <Relationship TargetMode="External" Target="https://www.legis.iowa.gov/docs/ico/chapter/423.pdf" Type="http://schemas.openxmlformats.org/officeDocument/2006/relationships/hyperlink" Id="rId32"/>
    <Relationship TargetMode="External" Target="https://www.legis.iowa.gov/docs/ico/chapter/15.pdf" Type="http://schemas.openxmlformats.org/officeDocument/2006/relationships/hyperlink" Id="rId33"/>
    <Relationship TargetMode="External" Target="https://www.legis.iowa.gov/docs/ico/chapter/15.pdf" Type="http://schemas.openxmlformats.org/officeDocument/2006/relationships/hyperlink" Id="rId34"/>
    <Relationship TargetMode="External" Target="https://www.legis.iowa.gov/docs/ico/chapter/15.pdf" Type="http://schemas.openxmlformats.org/officeDocument/2006/relationships/hyperlink" Id="rId35"/>
    <Relationship TargetMode="External" Target="https://www.legis.iowa.gov/docs/ico/chapter/15.pdf" Type="http://schemas.openxmlformats.org/officeDocument/2006/relationships/hyperlink" Id="rId36"/>
    <Relationship TargetMode="External" Target="https://www.legis.iowa.gov/docs/ico/chapter/15.pdf" Type="http://schemas.openxmlformats.org/officeDocument/2006/relationships/hyperlink" Id="rId37"/>
    <Relationship TargetMode="External" Target="https://www.legis.iowa.gov/docs/iac/rule/261.68.8.pdf" Type="http://schemas.openxmlformats.org/officeDocument/2006/relationships/hyperlink" Id="rId38"/>
    <Relationship TargetMode="External" Target="https://www.legis.iowa.gov/docs/iac/rule/261.68.7.pdf" Type="http://schemas.openxmlformats.org/officeDocument/2006/relationships/hyperlink" Id="rId39"/>
    <Relationship TargetMode="External" Target="https://www.legis.iowa.gov/docs/iac/rule/261.68.9.pdf" Type="http://schemas.openxmlformats.org/officeDocument/2006/relationships/hyperlink" Id="rId40"/>
    <Relationship TargetMode="External" Target="https://www.legis.iowa.gov/docs/ico/chapter/15.pdf" Type="http://schemas.openxmlformats.org/officeDocument/2006/relationships/hyperlink" Id="rId41"/>
    <Relationship TargetMode="External" Target="https://www.legis.iowa.gov/docs/ico/chapter/15.pdf" Type="http://schemas.openxmlformats.org/officeDocument/2006/relationships/hyperlink" Id="rId42"/>
    <Relationship TargetMode="External" Target="https://www.legis.iowa.gov/docs/iac/rule/261.1.3.pdf" Type="http://schemas.openxmlformats.org/officeDocument/2006/relationships/hyperlink" Id="rId43"/>
    <Relationship TargetMode="External" Target="https://www.legis.iowa.gov/docs/ico/chapter/15.pdf" Type="http://schemas.openxmlformats.org/officeDocument/2006/relationships/hyperlink" Id="rId44"/>
    <Relationship TargetMode="External" Target="https://www.legis.iowa.gov/docs/ico/chapter/15.pdf" Type="http://schemas.openxmlformats.org/officeDocument/2006/relationships/hyperlink" Id="rId45"/>
    <Relationship TargetMode="External" Target="https://www.legis.iowa.gov/docs/ico/chapter/15.pdf" Type="http://schemas.openxmlformats.org/officeDocument/2006/relationships/hyperlink" Id="rId46"/>
    <Relationship TargetMode="External" Target="https://www.legis.iowa.gov/docs/ico/chapter/15.pdf" Type="http://schemas.openxmlformats.org/officeDocument/2006/relationships/hyperlink" Id="rId47"/>
    <Relationship TargetMode="External" Target="https://www.legis.iowa.gov/docs/ico/chapter/15.pdf" Type="http://schemas.openxmlformats.org/officeDocument/2006/relationships/hyperlink" Id="rId48"/>
    <Relationship TargetMode="External" Target="https://www.legis.iowa.gov/docs/ico/chapter/15.pdf" Type="http://schemas.openxmlformats.org/officeDocument/2006/relationships/hyperlink" Id="rId49"/>
    <Relationship TargetMode="External" Target="https://www.legis.iowa.gov/docs/ico/chapter/15.pdf" Type="http://schemas.openxmlformats.org/officeDocument/2006/relationships/hyperlink" Id="rId50"/>
    <Relationship TargetMode="External" Target="https://www.legis.iowa.gov/docs/ico/chapter/15.pdf" Type="http://schemas.openxmlformats.org/officeDocument/2006/relationships/hyperlink" Id="rId51"/>
    <Relationship TargetMode="External" Target="https://www.legis.iowa.gov/docs/ico/chapter/15.pdf" Type="http://schemas.openxmlformats.org/officeDocument/2006/relationships/hyperlink" Id="rId52"/>
    <Relationship TargetMode="External" Target="https://www.legis.iowa.gov/docs/ico/chapter/15.pdf" Type="http://schemas.openxmlformats.org/officeDocument/2006/relationships/hyperlink" Id="rId53"/>
    <Relationship TargetMode="External" Target="https://www.legis.iowa.gov/docs/ico/chapter/15.pdf" Type="http://schemas.openxmlformats.org/officeDocument/2006/relationships/hyperlink" Id="rId54"/>
    <Relationship TargetMode="External" Target="https://www.legis.iowa.gov/docs/ico/chapter/15.pdf" Type="http://schemas.openxmlformats.org/officeDocument/2006/relationships/hyperlink" Id="rId55"/>
    <Relationship TargetMode="External" Target="https://www.legis.iowa.gov/docs/ico/chapter/15.pdf" Type="http://schemas.openxmlformats.org/officeDocument/2006/relationships/hyperlink" Id="rId56"/>
    <Relationship TargetMode="External" Target="https://www.legis.iowa.gov/docs/iac/rule/261.68.3.pdf" Type="http://schemas.openxmlformats.org/officeDocument/2006/relationships/hyperlink" Id="rId57"/>
    <Relationship TargetMode="External" Target="https://www.legis.iowa.gov/docs/ico/chapter/15.pdf" Type="http://schemas.openxmlformats.org/officeDocument/2006/relationships/hyperlink" Id="rId58"/>
    <Relationship TargetMode="External" Target="https://www.legis.iowa.gov/docs/ico/chapter/15.pdf" Type="http://schemas.openxmlformats.org/officeDocument/2006/relationships/hyperlink" Id="rId59"/>
    <Relationship TargetMode="External" Target="https://www.legis.iowa.gov/docs/ico/chapter/15.pdf" Type="http://schemas.openxmlformats.org/officeDocument/2006/relationships/hyperlink" Id="rId60"/>
    <Relationship TargetMode="External" Target="https://www.legis.iowa.gov/docs/iac/rule/261.68.7.pdf" Type="http://schemas.openxmlformats.org/officeDocument/2006/relationships/hyperlink" Id="rId61"/>
    <Relationship TargetMode="External" Target="https://www.legis.iowa.gov/docs/ico/chapter/15A.pdf" Type="http://schemas.openxmlformats.org/officeDocument/2006/relationships/hyperlink" Id="rId62"/>
    <Relationship TargetMode="External" Target="https://www.legis.iowa.gov/docs/ico/chapter/15.pdf" Type="http://schemas.openxmlformats.org/officeDocument/2006/relationships/hyperlink" Id="rId63"/>
    <Relationship TargetMode="External" Target="https://www.legis.iowa.gov/docs/iac/rule/261.68.6.pdf" Type="http://schemas.openxmlformats.org/officeDocument/2006/relationships/hyperlink" Id="rId64"/>
    <Relationship TargetMode="External" Target="https://www.legis.iowa.gov/docs/iac/rule/261.1.3.pdf" Type="http://schemas.openxmlformats.org/officeDocument/2006/relationships/hyperlink" Id="rId65"/>
    <Relationship TargetMode="External" Target="https://www.legis.iowa.gov/docs/ico/chapter/15.pdf" Type="http://schemas.openxmlformats.org/officeDocument/2006/relationships/hyperlink" Id="rId66"/>
    <Relationship TargetMode="External" Target="https://www.legis.iowa.gov/docs/ico/chapter/15.pdf" Type="http://schemas.openxmlformats.org/officeDocument/2006/relationships/hyperlink" Id="rId67"/>
    <Relationship TargetMode="External" Target="https://www.legis.iowa.gov/docs/iac/rule/261.68.8.pdf" Type="http://schemas.openxmlformats.org/officeDocument/2006/relationships/hyperlink" Id="rId68"/>
    <Relationship TargetMode="External" Target="https://www.legis.iowa.gov/docs/iac/rule/261.68.8.pdf" Type="http://schemas.openxmlformats.org/officeDocument/2006/relationships/hyperlink" Id="rId69"/>
    <Relationship TargetMode="External" Target="https://www.legis.iowa.gov/docs/iac/rule/261.68.3.pdf" Type="http://schemas.openxmlformats.org/officeDocument/2006/relationships/hyperlink" Id="rId70"/>
    <Relationship TargetMode="External" Target="https://www.legis.iowa.gov/docs/ico/chapter/15.pdf" Type="http://schemas.openxmlformats.org/officeDocument/2006/relationships/hyperlink" Id="rId71"/>
    <Relationship TargetMode="External" Target="https://www.legis.iowa.gov/docs/ico/chapter/15.pdf" Type="http://schemas.openxmlformats.org/officeDocument/2006/relationships/hyperlink" Id="rId72"/>
    <Relationship TargetMode="External" Target="https://www.legis.iowa.gov/docs/ico/chapter/15A.pdf" Type="http://schemas.openxmlformats.org/officeDocument/2006/relationships/hyperlink" Id="rId7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