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MAJOR ECONOMIC GROWTH ATTRACTION (MEGA) PROGRAM</w:t>
      </w:r>
    </w:p>
    <w:p>
      <w:pPr>
        <w:spacing w:before="0" w:after="0"/>
        <w:ind w:left="120"/>
        <w:jc w:val="both"/>
      </w:pPr>
      <w:r>
        <w:rPr>
          <w:rFonts w:ascii="Times New Roman" w:hAnsi="Times New Roman"/>
          <w:b/>
          <w:i w:val="false"/>
          <w:color w:val="000000"/>
          <w:sz w:val="22"/>
        </w:rPr>
        <w:t>261—67.1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 xml:space="preserve">means the same as defined in Iowa Code section 15.491(1A)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an application for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Iowa Code section 15.491(2)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w:t>
      </w:r>
      <w:r>
        <w:rPr>
          <w:rFonts w:ascii="Times New Roman" w:hAnsi="Times New Roman"/>
          <w:b w:val="false"/>
          <w:i w:val="false"/>
          <w:color w:val="000000"/>
          <w:sz w:val="22"/>
        </w:rPr>
        <w:t xml:space="preserve">means the same as defined in Iowa Code section 15.491(3)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15.102(4)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site” </w:t>
      </w:r>
      <w:r>
        <w:rPr>
          <w:rFonts w:ascii="Times New Roman" w:hAnsi="Times New Roman"/>
          <w:b w:val="false"/>
          <w:i w:val="false"/>
          <w:color w:val="000000"/>
          <w:sz w:val="22"/>
        </w:rPr>
        <w:t xml:space="preserve">means the same as defined in Iowa Code section 15.491(4)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15.491(5)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“create jobs” </w:t>
      </w:r>
      <w:r>
        <w:rPr>
          <w:rFonts w:ascii="Times New Roman" w:hAnsi="Times New Roman"/>
          <w:b w:val="false"/>
          <w:i w:val="false"/>
          <w:color w:val="000000"/>
          <w:sz w:val="22"/>
        </w:rPr>
        <w:t xml:space="preserve">means the same as defined in Iowa Code section 15.491(8)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that meets the conditions of Iowa Code section 15.492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business”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9I.1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 </w:t>
      </w:r>
      <w:r>
        <w:rPr>
          <w:rFonts w:ascii="Times New Roman" w:hAnsi="Times New Roman"/>
          <w:b w:val="false"/>
          <w:i w:val="false"/>
          <w:color w:val="000000"/>
          <w:sz w:val="22"/>
        </w:rPr>
        <w:t xml:space="preserve">means the same as defined in Iowa Code section 15.491(12)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w:t>
      </w:r>
      <w:r>
        <w:rPr>
          <w:rFonts w:ascii="Times New Roman" w:hAnsi="Times New Roman"/>
          <w:b w:val="false"/>
          <w:i w:val="false"/>
          <w:color w:val="000000"/>
          <w:sz w:val="22"/>
        </w:rPr>
        <w:t xml:space="preserve">means the same as defined in Iowa Code section 15.491(13)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 xml:space="preserve">means the same as defined in Iowa Code section 15.491(14)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15.491(16)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benefits” </w:t>
      </w:r>
      <w:r>
        <w:rPr>
          <w:rFonts w:ascii="Times New Roman" w:hAnsi="Times New Roman"/>
          <w:b w:val="false"/>
          <w:i w:val="false"/>
          <w:color w:val="000000"/>
          <w:sz w:val="22"/>
        </w:rPr>
        <w:t xml:space="preserve">means tax incentives or an exemption to restrictions on agricultural land holdings authorized by the board pursuant to Iowa Code section 15.493(3) or 15.493(4)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15.491(17)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 xml:space="preserve">means the same as defined in Iowa Code section 15.491(18)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period” </w:t>
      </w:r>
      <w:r>
        <w:rPr>
          <w:rFonts w:ascii="Times New Roman" w:hAnsi="Times New Roman"/>
          <w:b w:val="false"/>
          <w:i w:val="false"/>
          <w:color w:val="000000"/>
          <w:sz w:val="22"/>
        </w:rPr>
        <w:t xml:space="preserve">means the same as defined in Iowa Code section 15.491(19)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jobs” </w:t>
      </w:r>
      <w:r>
        <w:rPr>
          <w:rFonts w:ascii="Times New Roman" w:hAnsi="Times New Roman"/>
          <w:b w:val="false"/>
          <w:i w:val="false"/>
          <w:color w:val="000000"/>
          <w:sz w:val="22"/>
        </w:rPr>
        <w:t xml:space="preserve">means created jobs that meet the applicable wage requirements established in Iowa Code section 15.492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 xml:space="preserve">means the same as defined in Iowa Code section 15.491(20)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“Qualifying investment” includes machinery and equipment and infrastructure costs incurred by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wage threshold” </w:t>
      </w:r>
      <w:r>
        <w:rPr>
          <w:rFonts w:ascii="Times New Roman" w:hAnsi="Times New Roman"/>
          <w:b w:val="false"/>
          <w:i w:val="false"/>
          <w:color w:val="000000"/>
          <w:sz w:val="22"/>
        </w:rPr>
        <w:t xml:space="preserve">means the same as defined in Iowa Code section 15.491(21)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incentive” </w:t>
      </w:r>
      <w:r>
        <w:rPr>
          <w:rFonts w:ascii="Times New Roman" w:hAnsi="Times New Roman"/>
          <w:b w:val="false"/>
          <w:i w:val="false"/>
          <w:color w:val="000000"/>
          <w:sz w:val="22"/>
        </w:rPr>
        <w:t xml:space="preserve">means the same as defined in Iowa Code section 15.491(23)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color w:val="000000"/>
          <w:sz w:val="22"/>
        </w:rPr>
        <w:t xml:space="preserve">Project requirements. </w:t>
      </w:r>
      <w:r>
        <w:rPr>
          <w:rFonts w:ascii="Times New Roman" w:hAnsi="Times New Roman"/>
          <w:b w:val="false"/>
          <w:i w:val="false"/>
          <w:color w:val="000000"/>
          <w:sz w:val="22"/>
        </w:rPr>
        <w:t>The business’ proposed project site and qualifying investment in the project must meet the requirements of Iowa Code section 15.492(1)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The authority will not accept an application from a business that proposes a project at a location that is not a certified site or that the business does not currently have a controlling interest in at the time of application. The authority may accept an application from a business that proposes a project on a certified site that is not currently greater than 250 acres if the process to certify additional acres has been initiated and the certified site will exceed 250 acres following certification of the additional acres. The authority will determine whether a site is suitable for a project based on the following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approval of the project as required by subrule </w:t>
      </w:r>
      <w:hyperlink r:id="rId7">
        <w:r>
          <w:rPr>
            <w:rStyle w:val="Hyperlink"/>
            <w:rFonts w:ascii="Times New Roman" w:hAnsi="Times New Roman"/>
            <w:b w:val="false"/>
            <w:i w:val="false"/>
            <w:color w:val="000000"/>
            <w:sz w:val="22"/>
          </w:rPr>
          <w:t>67.2(2)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impact of the project on surrounding businesses and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or proposed plans to develop the necessary infrastructure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color w:val="000000"/>
          <w:sz w:val="22"/>
        </w:rPr>
        <w:t xml:space="preserve">Community approval and local match. </w:t>
      </w:r>
      <w:r>
        <w:rPr>
          <w:rFonts w:ascii="Times New Roman" w:hAnsi="Times New Roman"/>
          <w:b w:val="false"/>
          <w:i w:val="false"/>
          <w:color w:val="000000"/>
          <w:sz w:val="22"/>
        </w:rPr>
        <w:t>Community approval of the project by ordinance or resolution is required as specified in Iowa Code section 15.492(1)</w:t>
      </w:r>
      <w:r>
        <w:rPr>
          <w:rFonts w:ascii="Times New Roman" w:hAnsi="Times New Roman"/>
          <w:b w:val="false"/>
          <w:i/>
          <w:color w:val="000000"/>
          <w:sz w:val="22"/>
        </w:rPr>
        <w:t>“c”</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Local match may be required from the community or other relevant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67.2(3)</w:t>
      </w:r>
      <w:r>
        <w:rPr>
          <w:rFonts w:ascii="Times New Roman" w:hAnsi="Times New Roman"/>
          <w:b w:val="false"/>
          <w:i w:val="false"/>
          <w:color w:val="000000"/>
          <w:sz w:val="22"/>
        </w:rPr>
        <w:t> </w:t>
      </w:r>
      <w:r>
        <w:rPr>
          <w:rFonts w:ascii="Times New Roman" w:hAnsi="Times New Roman"/>
          <w:b w:val="false"/>
          <w:i/>
          <w:color w:val="000000"/>
          <w:sz w:val="22"/>
        </w:rPr>
        <w:t xml:space="preserve">Business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must be an eligible business type as identified in Iowa Code section 15.492(1)</w:t>
      </w:r>
      <w:r>
        <w:rPr>
          <w:rFonts w:ascii="Times New Roman" w:hAnsi="Times New Roman"/>
          <w:b w:val="false"/>
          <w:i/>
          <w:color w:val="000000"/>
          <w:sz w:val="22"/>
        </w:rPr>
        <w:t>“d”</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determining whether a business is an ineligible retail business pursuant to Iowa Code section 15.492(1)</w:t>
      </w:r>
      <w:r>
        <w:rPr>
          <w:rFonts w:ascii="Times New Roman" w:hAnsi="Times New Roman"/>
          <w:b w:val="false"/>
          <w:i/>
          <w:color w:val="000000"/>
          <w:sz w:val="22"/>
        </w:rPr>
        <w:t>“d”</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“retail business” means any business engaged in the business of sale at retail of tangible personal property or taxable services in this state or online. “Sale at retail” means the same as defined in Iowa Code section </w:t>
      </w:r>
      <w:hyperlink r:id="rId8">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Any business obligated to collect sales or use tax under Iowa Code chapter </w:t>
      </w:r>
      <w:hyperlink r:id="rId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is an ineligible retail business. A service business is not eligible for the program unless a significant proportion of its sales, as determined by the authority, are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67.2(4)</w:t>
      </w:r>
      <w:r>
        <w:rPr>
          <w:rFonts w:ascii="Times New Roman" w:hAnsi="Times New Roman"/>
          <w:b w:val="false"/>
          <w:i w:val="false"/>
          <w:color w:val="000000"/>
          <w:sz w:val="22"/>
        </w:rPr>
        <w:t> </w:t>
      </w:r>
      <w:r>
        <w:rPr>
          <w:rFonts w:ascii="Times New Roman" w:hAnsi="Times New Roman"/>
          <w:b w:val="false"/>
          <w:i/>
          <w:color w:val="000000"/>
          <w:sz w:val="22"/>
        </w:rPr>
        <w:t xml:space="preserve">Relocations and reductions in operations. </w:t>
      </w:r>
      <w:r>
        <w:rPr>
          <w:rFonts w:ascii="Times New Roman" w:hAnsi="Times New Roman"/>
          <w:b w:val="false"/>
          <w:i w:val="false"/>
          <w:color w:val="000000"/>
          <w:sz w:val="22"/>
        </w:rPr>
        <w:t>The authority will determine whether a business is ineligible due to a relocation or reduction in operations pursuant to Iowa Code section 15.492(1)</w:t>
      </w:r>
      <w:r>
        <w:rPr>
          <w:rFonts w:ascii="Times New Roman" w:hAnsi="Times New Roman"/>
          <w:b w:val="false"/>
          <w:i/>
          <w:color w:val="000000"/>
          <w:sz w:val="22"/>
        </w:rPr>
        <w:t>“e”</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67.2(5)</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 business must propose to create qualified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comprehensive benefits. </w:t>
      </w:r>
      <w:r>
        <w:rPr>
          <w:rFonts w:ascii="Times New Roman" w:hAnsi="Times New Roman"/>
          <w:b w:val="false"/>
          <w:i w:val="false"/>
          <w:color w:val="000000"/>
          <w:sz w:val="22"/>
        </w:rPr>
        <w:t>The benefits package provided pursuant to Iowa Code section 15.492(1)</w:t>
      </w:r>
      <w:r>
        <w:rPr>
          <w:rFonts w:ascii="Times New Roman" w:hAnsi="Times New Roman"/>
          <w:b w:val="false"/>
          <w:i/>
          <w:color w:val="000000"/>
          <w:sz w:val="22"/>
        </w:rPr>
        <w:t>“g”</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 A business shall provide comprehensive benefits to all jobs included in the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67.2(7)</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If the authority finds that a business has a record of violations of law over a period of time that tends to show a consistent pattern as described in Iowa Code section 15.492(1)</w:t>
      </w:r>
      <w:r>
        <w:rPr>
          <w:rFonts w:ascii="Times New Roman" w:hAnsi="Times New Roman"/>
          <w:b w:val="false"/>
          <w:i/>
          <w:color w:val="000000"/>
          <w:sz w:val="22"/>
        </w:rPr>
        <w:t>“h”</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the business shall not qualify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67.2(8)</w:t>
      </w:r>
      <w:r>
        <w:rPr>
          <w:rFonts w:ascii="Times New Roman" w:hAnsi="Times New Roman"/>
          <w:b w:val="false"/>
          <w:i w:val="false"/>
          <w:color w:val="000000"/>
          <w:sz w:val="22"/>
        </w:rPr>
        <w:t> </w:t>
      </w:r>
      <w:r>
        <w:rPr>
          <w:rFonts w:ascii="Times New Roman" w:hAnsi="Times New Roman"/>
          <w:b w:val="false"/>
          <w:i/>
          <w:color w:val="000000"/>
          <w:sz w:val="22"/>
        </w:rPr>
        <w:t xml:space="preserve">Applicant’s past or current performance. </w:t>
      </w:r>
      <w:r>
        <w:rPr>
          <w:rFonts w:ascii="Times New Roman" w:hAnsi="Times New Roman"/>
          <w:b w:val="false"/>
          <w:i w:val="false"/>
          <w:color w:val="000000"/>
          <w:sz w:val="22"/>
        </w:rPr>
        <w:t>If an applicant received a prior award or other benefit through any program administered by the authority, the authority and board will consider the applicant’s past or current performance under the prior award or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67.2(9)</w:t>
      </w:r>
      <w:r>
        <w:rPr>
          <w:rFonts w:ascii="Times New Roman" w:hAnsi="Times New Roman"/>
          <w:b w:val="false"/>
          <w:i w:val="false"/>
          <w:color w:val="000000"/>
          <w:sz w:val="22"/>
        </w:rPr>
        <w:t> </w:t>
      </w:r>
      <w:r>
        <w:rPr>
          <w:rFonts w:ascii="Times New Roman" w:hAnsi="Times New Roman"/>
          <w:b w:val="false"/>
          <w:i/>
          <w:color w:val="000000"/>
          <w:sz w:val="22"/>
        </w:rPr>
        <w:t xml:space="preserve">Results of due diligence review. </w:t>
      </w:r>
      <w:r>
        <w:rPr>
          <w:rFonts w:ascii="Times New Roman" w:hAnsi="Times New Roman"/>
          <w:b w:val="false"/>
          <w:i w:val="false"/>
          <w:color w:val="000000"/>
          <w:sz w:val="22"/>
        </w:rPr>
        <w:t xml:space="preserve">The authority will complete a due diligence review, including but not limited to lien searches, reports of violations, lawsuits and other relevant information about the applicant. A business may be ineligible based on results of the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67.2(10)</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consider any applicable additional factors pursuant to Iowa Code section 15.492(2)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to determine whether a business or a business’s project should be considered eligible or ineligible for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evaluating the economic impact of a project pursuant to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the authority will primarily measure economic impact by an independent analysis conducted by a contractor chosen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businesses may be considered ineligible for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that have not proposed a sufficient number of created jobs or qualified jobs to justify program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that do not clearly identify ownership and affiliated businesses to the authority’s satisfaction.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Businesses that do not have significant market share or national recognition in their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A project representing solely acquisition of a business as a going concern that does not include qualified jobs and qualifying investment at the acquired business facility is not eligible for the program. A qualified project that occurs following acquisition of a business as a going concern may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The authority will not accept applications for projects that have been initiated or will be initiated prior to board consideration of the business’s application for the program unless the business establishes that not initiating the project prior to board consideration of the application would result in undue hardship or that extenuating circumstances necessitate initiating the project prior to board consideration of the business’s application for the program. Whether an undue hardship or extenuating circumstance exists will be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may indicate that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of construction of new or expanded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start of rehabilitation of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purchase or leasing of existing buildings;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installation of new machinery and equipment or new computers to be used in the operation of the business’s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indicate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land or signing an option to purchase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Acquisition of a business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prior to the award date are not eligible qualifying investment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may be invited to submit applications for the program to the authority. Businesses shall utilize a standardized application developed by the authority. A signature from an official authorized to represent the affected local community is required to indicate that the community supports the project. The application shall include an ordinance or resolution of the community’s governing body approving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provide any information requested by a contractor selected by the authority to evaluate the economic impact of the project pursuant to subrule </w:t>
      </w:r>
      <w:hyperlink r:id="rId10">
        <w:r>
          <w:rPr>
            <w:rStyle w:val="Hyperlink"/>
            <w:rFonts w:ascii="Times New Roman" w:hAnsi="Times New Roman"/>
            <w:b w:val="false"/>
            <w:i w:val="false"/>
            <w:color w:val="000000"/>
            <w:sz w:val="22"/>
          </w:rPr>
          <w:t>67.2(10)</w:t>
        </w:r>
      </w:hyperlink>
      <w:r>
        <w:rPr>
          <w:rFonts w:ascii="Times New Roman" w:hAnsi="Times New Roman"/>
          <w:b w:val="false"/>
          <w:i w:val="false"/>
          <w:color w:val="000000"/>
          <w:sz w:val="22"/>
        </w:rPr>
        <w:t xml:space="preserve">. Such information will be held confidential by the authority to the extent allowed by Iowa Code sections </w:t>
      </w:r>
      <w:hyperlink r:id="rId11">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application process, the authority will identify any assistance previously awarded for which an applicant would no longer be eligible pursuant to Iowa Code section 15.499(1)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11. The authority may also identify assistance the applicant may be prohibited from receiving in the future pursuant to Iowa Code section 15.499(1)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11, during the application process or may identify such prohibition at a later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required by Iowa Code section 15.493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5, shall equal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cost incurred by the authority to conduct an independent analysis of the economic impact of the project, not to exceed $50,000;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One half of 1 percent of the amount of tax incentives approved.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an invoice for the portion of the fee assessed pursuant to subparagraph </w:t>
      </w:r>
      <w:hyperlink r:id="rId13">
        <w:r>
          <w:rPr>
            <w:rStyle w:val="Hyperlink"/>
            <w:rFonts w:ascii="Times New Roman" w:hAnsi="Times New Roman"/>
            <w:b w:val="false"/>
            <w:i w:val="false"/>
            <w:color w:val="000000"/>
            <w:sz w:val="22"/>
          </w:rPr>
          <w:t>67.3(2)</w:t>
        </w:r>
      </w:hyperlink>
      <w:r>
        <w:rPr>
          <w:rFonts w:ascii="Times New Roman" w:hAnsi="Times New Roman"/>
          <w:b w:val="false"/>
          <w:i/>
          <w:color w:val="000000"/>
          <w:sz w:val="22"/>
        </w:rPr>
        <w:t>“a”</w:t>
      </w:r>
      <w:r>
        <w:rPr>
          <w:rFonts w:ascii="Times New Roman" w:hAnsi="Times New Roman"/>
          <w:b w:val="false"/>
          <w:i w:val="false"/>
          <w:color w:val="000000"/>
          <w:sz w:val="22"/>
        </w:rPr>
        <w:t xml:space="preserve">(1) following completion of the independent analysis. Payment shall be due within 30 days after the date the invoice is issued or a later date identified in writing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an invoice for the portion of the fee assessed pursuant to subparagraph </w:t>
      </w:r>
      <w:hyperlink r:id="rId14">
        <w:r>
          <w:rPr>
            <w:rStyle w:val="Hyperlink"/>
            <w:rFonts w:ascii="Times New Roman" w:hAnsi="Times New Roman"/>
            <w:b w:val="false"/>
            <w:i w:val="false"/>
            <w:color w:val="000000"/>
            <w:sz w:val="22"/>
          </w:rPr>
          <w:t>67.3(2)</w:t>
        </w:r>
      </w:hyperlink>
      <w:r>
        <w:rPr>
          <w:rFonts w:ascii="Times New Roman" w:hAnsi="Times New Roman"/>
          <w:b w:val="false"/>
          <w:i/>
          <w:color w:val="000000"/>
          <w:sz w:val="22"/>
        </w:rPr>
        <w:t>“a”</w:t>
      </w:r>
      <w:r>
        <w:rPr>
          <w:rFonts w:ascii="Times New Roman" w:hAnsi="Times New Roman"/>
          <w:b w:val="false"/>
          <w:i w:val="false"/>
          <w:color w:val="000000"/>
          <w:sz w:val="22"/>
        </w:rPr>
        <w:t xml:space="preserve">(2) following board approval of tax incentives. Payment shall be equally divided over the term of the contract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 Payments shall be due by the dates identified by the authority in the invoice or a later date identified in writing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wage requirements. </w:t>
      </w:r>
      <w:r>
        <w:rPr>
          <w:rFonts w:ascii="Times New Roman" w:hAnsi="Times New Roman"/>
          <w:b w:val="false"/>
          <w:i w:val="false"/>
          <w:color w:val="000000"/>
          <w:sz w:val="22"/>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The authority shall have sole discretion to determine whether an application is fully completed. Qualifying wage thresholds will be calculated and applied as described in rule </w:t>
      </w:r>
      <w:hyperlink r:id="rId15">
        <w:r>
          <w:rPr>
            <w:rStyle w:val="Hyperlink"/>
            <w:rFonts w:ascii="Times New Roman" w:hAnsi="Times New Roman"/>
            <w:b w:val="false"/>
            <w:i w:val="false"/>
            <w:color w:val="000000"/>
            <w:sz w:val="22"/>
          </w:rPr>
          <w:t>261—67.8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color w:val="000000"/>
          <w:sz w:val="22"/>
        </w:rPr>
        <w:t xml:space="preserve">Job requirements. </w:t>
      </w:r>
      <w:r>
        <w:rPr>
          <w:rFonts w:ascii="Times New Roman" w:hAnsi="Times New Roman"/>
          <w:b w:val="false"/>
          <w:i w:val="false"/>
          <w:color w:val="000000"/>
          <w:sz w:val="22"/>
        </w:rPr>
        <w:t xml:space="preserve">Job requirements applicable to a project, identified as described in rule </w:t>
      </w:r>
      <w:hyperlink r:id="rId16">
        <w:r>
          <w:rPr>
            <w:rStyle w:val="Hyperlink"/>
            <w:rFonts w:ascii="Times New Roman" w:hAnsi="Times New Roman"/>
            <w:b w:val="false"/>
            <w:i w:val="false"/>
            <w:color w:val="000000"/>
            <w:sz w:val="22"/>
          </w:rPr>
          <w:t>261—67.7</w:t>
        </w:r>
      </w:hyperlink>
      <w:r>
        <w:rPr>
          <w:rFonts w:ascii="Times New Roman" w:hAnsi="Times New Roman"/>
          <w:b w:val="false"/>
          <w:i w:val="false"/>
          <w:color w:val="000000"/>
          <w:sz w:val="22"/>
        </w:rPr>
        <w:t xml:space="preserve">(15), will be established at the time of application. Job requirements will be based on the base employment level as of the date the application was fully completed and submitted to the authority and eligible business’s job projections and will be utilized to determine eligibility and the amount of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color w:val="000000"/>
          <w:sz w:val="22"/>
        </w:rPr>
        <w:t xml:space="preserve">Investment requirements. </w:t>
      </w:r>
      <w:r>
        <w:rPr>
          <w:rFonts w:ascii="Times New Roman" w:hAnsi="Times New Roman"/>
          <w:b w:val="false"/>
          <w:i w:val="false"/>
          <w:color w:val="000000"/>
          <w:sz w:val="22"/>
        </w:rPr>
        <w:t>The investment requirements applicable to a project will be established at the time of application. Investment requirements are based on an eligible business’s estimates of project costs and will be utilized to determine eligibility and the amount of tax incentives.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r>
        <w:rPr>
          <w:rFonts w:ascii="Times New Roman" w:hAnsi="Times New Roman"/>
          <w:b w:val="false"/>
          <w:i w:val="false"/>
          <w:color w:val="000000"/>
          <w:sz w:val="22"/>
        </w:rPr>
        <w:t xml:space="preserve">Authority staff and the board may negotiate with an applicant concerning dollar amounts, terms, conditions of award, or any other elements of the proposed award. All program benefits available under the program are subject to negotiation. The board and the authority will attempt to treat similarly situated applicants similarly. However, the amount, type, and terms of program benefits are necessarily dependent on many factors, and awards shall be entirely at the discretion of the board. The board, in consultation with authority staff, will attempt to determine the appropriate program benefits, and the board will make a good-faith effort to provide only the amount of program benefits necessary to facilitate the project. </w:t>
      </w:r>
    </w:p>
    <w:p>
      <w:pPr>
        <w:spacing w:before="0" w:after="0"/>
        <w:ind w:left="120"/>
        <w:jc w:val="both"/>
      </w:pPr>
      <w:r>
        <w:rPr>
          <w:rFonts w:ascii="Times New Roman" w:hAnsi="Times New Roman"/>
          <w:b w:val="false"/>
          <w:i w:val="false"/>
          <w:color w:val="000000"/>
          <w:sz w:val="22"/>
        </w:rPr>
        <w:t>The authority shall consider all of the following factors in negotiating with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of need. </w:t>
      </w:r>
      <w:r>
        <w:rPr>
          <w:rFonts w:ascii="Times New Roman" w:hAnsi="Times New Roman"/>
          <w:b w:val="false"/>
          <w:i w:val="false"/>
          <w:color w:val="000000"/>
          <w:sz w:val="22"/>
        </w:rPr>
        <w:t>The authority will determine a project’s level of need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likely returns of the project are inadequate to motivate a company decision maker to proceed with the project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business is deciding between an Iowa site and a site in another state for its project and the cost of completing the project at the out-of-state site is demonstrably lower, including if any form of incentives have been offered by another state or local government. Such a condition indicates that tax incentives may be needed to equalize the cost differential between the two sites. The authority will attempt to quantify the cost differential between the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state and local assistance available to the business from sources other than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and quality of jobs. </w:t>
      </w:r>
      <w:r>
        <w:rPr>
          <w:rFonts w:ascii="Times New Roman" w:hAnsi="Times New Roman"/>
          <w:b w:val="false"/>
          <w:i w:val="false"/>
          <w:color w:val="000000"/>
          <w:sz w:val="22"/>
        </w:rPr>
        <w:t>The authority will determine the quality of jobs consistent with the factors listed in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of created jobs that are qualified jobs. </w:t>
      </w:r>
      <w:r>
        <w:rPr>
          <w:rFonts w:ascii="Times New Roman" w:hAnsi="Times New Roman"/>
          <w:b w:val="false"/>
          <w:i w:val="false"/>
          <w:color w:val="000000"/>
          <w:sz w:val="22"/>
        </w:rPr>
        <w:t>The authority will consider the number of qualifying jobs in proportion to the total number of created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Amount of investment. </w:t>
      </w:r>
      <w:r>
        <w:rPr>
          <w:rFonts w:ascii="Times New Roman" w:hAnsi="Times New Roman"/>
          <w:b w:val="false"/>
          <w:i w:val="false"/>
          <w:color w:val="000000"/>
          <w:sz w:val="22"/>
        </w:rPr>
        <w:t xml:space="preserve">The authority will consider the total amount of qualifying investment proposed by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 xml:space="preserve">Economic impact will be primarily measured by an independent analysis conducted by a contractor chosen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 on likely suppliers to the applicant business. </w:t>
      </w:r>
      <w:r>
        <w:rPr>
          <w:rFonts w:ascii="Times New Roman" w:hAnsi="Times New Roman"/>
          <w:b w:val="false"/>
          <w:i w:val="false"/>
          <w:color w:val="000000"/>
          <w:sz w:val="22"/>
        </w:rPr>
        <w:t xml:space="preserve">The authority will consider whether a project increases demand for goods or services offered by other businesses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color w:val="000000"/>
          <w:sz w:val="22"/>
        </w:rPr>
        <w:t xml:space="preserve">Board approval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to ensure program eligibility requirements are satisfied. Authority staff may request additional information from the business or may use other resources to obtain the needed information.</w:t>
      </w:r>
    </w:p>
    <w:p>
      <w:pPr>
        <w:spacing w:before="0" w:after="0"/>
        <w:ind w:left="120"/>
        <w:jc w:val="both"/>
      </w:pPr>
      <w:r>
        <w:rPr>
          <w:rFonts w:ascii="Times New Roman" w:hAnsi="Times New Roman"/>
          <w:b w:val="false"/>
          <w:i w:val="false"/>
          <w:color w:val="000000"/>
          <w:sz w:val="22"/>
        </w:rPr>
        <w:t xml:space="preserve">Complete and eligible applications and supporting documentation will be submitted to the board for its consideration. Authority staff will generate and submit to the board a report that summarizes the project and provide a recommendation on the amount of tax incentives to be offered to the business and whether the business should be offered an exemption to restrictions on agricultural land holdings pursuant to Iowa Code section 15.498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may provide the board additional information or documentation as determined by staff. The board may offer an award in a lesser amount or that is structured in a manner different from that requested or recommended by authority staff. Meeting eligibility requirements does not guarantee that an award will be offered or provided in the form sought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diligence committee of the board established pursuant to </w:t>
      </w:r>
      <w:hyperlink r:id="rId17">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will review applications and make recommendations regarding the size, combination of program benefits, and conditions of awards. The board may accept or reject recommendations from the due diligence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approves an award, an applicant will be notified in writing, including any conditions and terms of the approval. If the board approves an application prior to certification of additional acres to qualify the project site pursuant to subrule </w:t>
      </w:r>
      <w:hyperlink r:id="rId18">
        <w:r>
          <w:rPr>
            <w:rStyle w:val="Hyperlink"/>
            <w:rFonts w:ascii="Times New Roman" w:hAnsi="Times New Roman"/>
            <w:b w:val="false"/>
            <w:i w:val="false"/>
            <w:color w:val="000000"/>
            <w:sz w:val="22"/>
          </w:rPr>
          <w:t>67.2(1)</w:t>
        </w:r>
      </w:hyperlink>
      <w:r>
        <w:rPr>
          <w:rFonts w:ascii="Times New Roman" w:hAnsi="Times New Roman"/>
          <w:b w:val="false"/>
          <w:i w:val="false"/>
          <w:color w:val="000000"/>
          <w:sz w:val="22"/>
        </w:rPr>
        <w:t xml:space="preserve">, such approval shall be contingent upon certification of the additional acres.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board. </w:t>
      </w:r>
      <w:r>
        <w:rPr>
          <w:rFonts w:ascii="Times New Roman" w:hAnsi="Times New Roman"/>
          <w:b w:val="false"/>
          <w:i w:val="false"/>
          <w:color w:val="000000"/>
          <w:sz w:val="22"/>
        </w:rPr>
        <w:t xml:space="preserve">The authority will reject any application received that would violate the restrictions on the board in Iowa Code section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261—67.4</w:t>
      </w:r>
      <w:r>
        <w:rPr>
          <w:rFonts w:ascii="Times New Roman" w:hAnsi="Times New Roman"/>
          <w:b/>
          <w:i w:val="false"/>
          <w:color w:val="000000"/>
          <w:sz w:val="22"/>
        </w:rPr>
        <w:t xml:space="preserve">(15) </w:t>
      </w:r>
      <w:r>
        <w:rPr>
          <w:rFonts w:ascii="Times New Roman" w:hAnsi="Times New Roman"/>
          <w:b/>
          <w:i w:val="false"/>
          <w:color w:val="000000"/>
          <w:sz w:val="22"/>
        </w:rPr>
        <w:t xml:space="preserve">Tax incentives. </w:t>
      </w:r>
      <w:r>
        <w:rPr>
          <w:rFonts w:ascii="Times New Roman" w:hAnsi="Times New Roman"/>
          <w:b w:val="false"/>
          <w:i w:val="false"/>
          <w:color w:val="000000"/>
          <w:sz w:val="22"/>
        </w:rPr>
        <w:t xml:space="preserve">The authority may approve a business to receive any combination of applicable tax incentives allowed through the program pursuant to Iowa Code section 15.495, 15.496, or 15.497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An approved business shall not claim a tax incentive in excess of the amount specified in an agreement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6. No tax incentive may be utilized by an approved business until all conditions of such tax incentive established by the authority or the department of revenue have been satisfied.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Property tax exemption. </w:t>
      </w:r>
      <w:r>
        <w:rPr>
          <w:rFonts w:ascii="Times New Roman" w:hAnsi="Times New Roman"/>
          <w:b w:val="false"/>
          <w:i w:val="false"/>
          <w:color w:val="000000"/>
          <w:sz w:val="22"/>
        </w:rPr>
        <w:t xml:space="preserve">If a community approves an exemption from taxation pursuant to Iowa Code section 15.500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12, the community shall provide the authority and the local assessor with a copy of the resolution adopted by the community’s governing body that indicates the estimated value and duration of the authorized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approved business shall provide adequate documentation to the authority to document that the conditions for issuance of a tax credit certificate in Iowa Code section 15.496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8, have been satisfied.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Maximum tax incentives available. </w:t>
      </w:r>
      <w:r>
        <w:rPr>
          <w:rFonts w:ascii="Times New Roman" w:hAnsi="Times New Roman"/>
          <w:b w:val="false"/>
          <w:i w:val="false"/>
          <w:color w:val="000000"/>
          <w:sz w:val="22"/>
        </w:rPr>
        <w:t xml:space="preserve">The maximum amount of tax incentives for a business’s project will be established based on the factors identified in subrule </w:t>
      </w:r>
      <w:hyperlink r:id="rId19">
        <w:r>
          <w:rPr>
            <w:rStyle w:val="Hyperlink"/>
            <w:rFonts w:ascii="Times New Roman" w:hAnsi="Times New Roman"/>
            <w:b w:val="false"/>
            <w:i w:val="false"/>
            <w:color w:val="000000"/>
            <w:sz w:val="22"/>
          </w:rPr>
          <w:t>67.3(6)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261—67.5</w:t>
      </w:r>
      <w:r>
        <w:rPr>
          <w:rFonts w:ascii="Times New Roman" w:hAnsi="Times New Roman"/>
          <w:b/>
          <w:i w:val="false"/>
          <w:color w:val="000000"/>
          <w:sz w:val="22"/>
        </w:rPr>
        <w:t xml:space="preserve">(15) </w:t>
      </w:r>
      <w:r>
        <w:rPr>
          <w:rFonts w:ascii="Times New Roman" w:hAnsi="Times New Roman"/>
          <w:b/>
          <w:i w:val="false"/>
          <w:color w:val="000000"/>
          <w:sz w:val="22"/>
        </w:rPr>
        <w:t xml:space="preserve">Acquisition of agricultural land by foreign businesses. </w:t>
      </w:r>
      <w:r>
        <w:rPr>
          <w:rFonts w:ascii="Times New Roman" w:hAnsi="Times New Roman"/>
          <w:b w:val="false"/>
          <w:i w:val="false"/>
          <w:color w:val="000000"/>
          <w:sz w:val="22"/>
        </w:rPr>
        <w:t>The authority may authorize an exemption to restrictions on agricultural land holdings pursuant to Iowa Code sections 9I.3(3)</w:t>
      </w:r>
      <w:r>
        <w:rPr>
          <w:rFonts w:ascii="Times New Roman" w:hAnsi="Times New Roman"/>
          <w:b w:val="false"/>
          <w:i/>
          <w:color w:val="000000"/>
          <w:sz w:val="22"/>
        </w:rPr>
        <w:t>“f”</w:t>
      </w:r>
      <w:r>
        <w:rPr>
          <w:rFonts w:ascii="Times New Roman" w:hAnsi="Times New Roman"/>
          <w:b w:val="false"/>
          <w:i w:val="false"/>
          <w:color w:val="000000"/>
          <w:sz w:val="22"/>
        </w:rPr>
        <w:t xml:space="preserve"> and 15.498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Whether to approve or deny a request for an exemption is solely within the board’s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considered for an exemption, an applicant shall provide detailed documentation of ownership and affiliated businesses; evidence of compliance with Iowa Code chapter </w:t>
      </w:r>
      <w:hyperlink r:id="rId20">
        <w:r>
          <w:rPr>
            <w:rStyle w:val="Hyperlink"/>
            <w:rFonts w:ascii="Times New Roman" w:hAnsi="Times New Roman"/>
            <w:b w:val="false"/>
            <w:i w:val="false"/>
            <w:color w:val="000000"/>
            <w:sz w:val="22"/>
          </w:rPr>
          <w:t>9I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Senate File 2204</w:t>
      </w:r>
      <w:r>
        <w:rPr>
          <w:rFonts w:ascii="Times New Roman" w:hAnsi="Times New Roman"/>
          <w:b w:val="false"/>
          <w:i w:val="false"/>
          <w:color w:val="000000"/>
          <w:sz w:val="22"/>
        </w:rPr>
        <w:t xml:space="preserve">; and any other information requested by the authority to document the business’s eligibility for the exemption to the authority’s satisfaction. An applicant must demonstrate that the number of acres for which an exemption is requested is necessary for the completion of the business’s project. The number of acres for which an exemption is approved is subject to negotiation.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authorized pursuant to Iowa Code section 15.498(2)</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10, must be made in writing and received by the authority at least 60 days prior to expiration of the applicable deadline imposed by Iowa Code section </w:t>
      </w:r>
      <w:hyperlink r:id="rId21">
        <w:r>
          <w:rPr>
            <w:rStyle w:val="Hyperlink"/>
            <w:rFonts w:ascii="Times New Roman" w:hAnsi="Times New Roman"/>
            <w:b w:val="false"/>
            <w:i w:val="false"/>
            <w:color w:val="000000"/>
            <w:sz w:val="22"/>
          </w:rPr>
          <w:t>9I.4</w:t>
        </w:r>
      </w:hyperlink>
      <w:r>
        <w:rPr>
          <w:rFonts w:ascii="Times New Roman" w:hAnsi="Times New Roman"/>
          <w:b w:val="false"/>
          <w:i w:val="false"/>
          <w:color w:val="000000"/>
          <w:sz w:val="22"/>
        </w:rPr>
        <w:t xml:space="preserve"> or as previously extended by the authority. The request shall include steps taken by the recipient to convert the land to a purpose other than farming, the estimated date by which the required conversion is expected to occur, and any other information required by the authority to determine whether an extension is warranted. Whether to approve or deny a request for an extension is solely within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261—67.6</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Agreements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Successful applicants will be required to execute an agreement with the authority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agreement shall meet all requirements of and be administered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67.6(3)</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An agreement will specify the number of created jobs the business has pledged to create in addition to the base employment level and the number of qualified jobs. Job obligations will be established and monitored pursuant to subrule </w:t>
      </w:r>
      <w:hyperlink r:id="rId22">
        <w:r>
          <w:rPr>
            <w:rStyle w:val="Hyperlink"/>
            <w:rFonts w:ascii="Times New Roman" w:hAnsi="Times New Roman"/>
            <w:b w:val="false"/>
            <w:i w:val="false"/>
            <w:color w:val="000000"/>
            <w:sz w:val="22"/>
          </w:rPr>
          <w:t>67.2(5)</w:t>
        </w:r>
      </w:hyperlink>
      <w:r>
        <w:rPr>
          <w:rFonts w:ascii="Times New Roman" w:hAnsi="Times New Roman"/>
          <w:b w:val="false"/>
          <w:i w:val="false"/>
          <w:color w:val="000000"/>
          <w:sz w:val="22"/>
        </w:rPr>
        <w:t xml:space="preserve"> and rule </w:t>
      </w:r>
      <w:hyperlink r:id="rId23">
        <w:r>
          <w:rPr>
            <w:rStyle w:val="Hyperlink"/>
            <w:rFonts w:ascii="Times New Roman" w:hAnsi="Times New Roman"/>
            <w:b w:val="false"/>
            <w:i w:val="false"/>
            <w:color w:val="000000"/>
            <w:sz w:val="22"/>
          </w:rPr>
          <w:t>261—67.7</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67.6(4)</w:t>
      </w: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An agreement will describe the project and specify the qualifying investment the business proposes to make.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An agreement will specify the project completion date. The project completion date will be the date on which a program recipient has agreed to meet all the terms and obligations contained in an agreement with the authority, including but not limited to completing the project and creating jobs. The project completion period will be at least three years. The project completion date is calculated by the authority from the end of the month during which an award is made. For example, if an award is made on June 13, 2024, the three-year project completion date will be calculated from June 30, 2024. The project completion date for this award would be June 30,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67.6(6)</w:t>
      </w: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An agreement will specify the maintenance period completion date. The maintenance period completion date will be used to establish the period during which the project and the created jobs must be maintained. The total contract length, including the maintenance period, will be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67.6(7)</w:t>
      </w:r>
      <w:r>
        <w:rPr>
          <w:rFonts w:ascii="Times New Roman" w:hAnsi="Times New Roman"/>
          <w:b w:val="false"/>
          <w:i w:val="false"/>
          <w:color w:val="000000"/>
          <w:sz w:val="22"/>
        </w:rPr>
        <w:t> </w:t>
      </w:r>
      <w:r>
        <w:rPr>
          <w:rFonts w:ascii="Times New Roman" w:hAnsi="Times New Roman"/>
          <w:b w:val="false"/>
          <w:i/>
          <w:color w:val="000000"/>
          <w:sz w:val="22"/>
        </w:rPr>
        <w:t xml:space="preserve">Conditions to issuance of tax credit certificate. </w:t>
      </w:r>
      <w:r>
        <w:rPr>
          <w:rFonts w:ascii="Times New Roman" w:hAnsi="Times New Roman"/>
          <w:b w:val="false"/>
          <w:i w:val="false"/>
          <w:color w:val="000000"/>
          <w:sz w:val="22"/>
        </w:rPr>
        <w:t xml:space="preserve">An agreement will specify the conditions of issuance of a tax credit certificate, including but not limited to compliance with the requirements of Iowa Code section </w:t>
      </w:r>
      <w:hyperlink r:id="rId24">
        <w:r>
          <w:rPr>
            <w:rStyle w:val="Hyperlink"/>
            <w:rFonts w:ascii="Times New Roman" w:hAnsi="Times New Roman"/>
            <w:b w:val="false"/>
            <w:i w:val="false"/>
            <w:color w:val="000000"/>
            <w:sz w:val="22"/>
          </w:rPr>
          <w:t>15A.1(3)</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regarding solid and hazardous waste and verification that the project completion and qualified job threshold specified in Iowa Code section 15.496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8, has been met,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67.6(8)</w:t>
      </w:r>
      <w:r>
        <w:rPr>
          <w:rFonts w:ascii="Times New Roman" w:hAnsi="Times New Roman"/>
          <w:b w:val="false"/>
          <w:i w:val="false"/>
          <w:color w:val="000000"/>
          <w:sz w:val="22"/>
        </w:rPr>
        <w:t> </w:t>
      </w:r>
      <w:r>
        <w:rPr>
          <w:rFonts w:ascii="Times New Roman" w:hAnsi="Times New Roman"/>
          <w:b w:val="false"/>
          <w:i/>
          <w:color w:val="000000"/>
          <w:sz w:val="22"/>
        </w:rPr>
        <w:t xml:space="preserve">Monitoring and reports. </w:t>
      </w:r>
      <w:r>
        <w:rPr>
          <w:rFonts w:ascii="Times New Roman" w:hAnsi="Times New Roman"/>
          <w:b w:val="false"/>
          <w:i w:val="false"/>
          <w:color w:val="000000"/>
          <w:sz w:val="22"/>
        </w:rPr>
        <w:t>The authority shall ensure that program recipients comply with contracts entered into pursuant to this rule. An agreement will specify the reports a program recipient must submit to the authority and due dates for such reports. Reports shall be provided in form and content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shall report annually to the authority about the status of the funded project, including but not limited to employment, wages, benefits, project costs, qualifying investment, and compliance with the contract. The authority will use the data it collects in the authority’s annual report to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shall submit a report to the authority following the project completion date and the maintenance period completion date to verify compliance with the agreement. On-site or remote monitoring may be conducted following the project completion date as deemed appropriate by the authority. On-site or remote monitoring may be conducted following the maintenance period completion date as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An agreement will specify events of default and the remedies available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incentives. </w:t>
      </w:r>
      <w:r>
        <w:rPr>
          <w:rFonts w:ascii="Times New Roman" w:hAnsi="Times New Roman"/>
          <w:b w:val="false"/>
          <w:i w:val="false"/>
          <w:color w:val="000000"/>
          <w:sz w:val="22"/>
        </w:rPr>
        <w:t>If the authority determines that a recipient is in default, the authority may seek recovery of all state tax incentives by notifying the department of revenue of the event of default and the required repayment amount. The repayment amount is subject to applicable interest and penalties as determined by the department of revenue. Negotiated settlements are subject to approval by the board. The department of revenue will undertake collection efforts. If the business is an entity that has elected pass-through taxation status for income tax purposes, the department of revenue may undertake collection efforts against members, individuals, or shareholders to whom the tax incentives were passed through. If the agreement provides for local tax incentives, the authority will notify the community that provided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repayment due or reduction of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shortfall. If a business does not meet its job requirements, the repayment amount or reduction of tax incentives shall be the same proportion as the amount of the job shortfall. For example, if the business creates 50 percent of the jobs required, the business shall repay 50 percent of the tax incentives received or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Qualifying investment shortfall. If a business does not meet the qualifying investment requirement, the repayment amount or reduction of tax incentives shall be the same proportion as the amount of the shortfall in required qualifying investment. For example, if the business meets 75 percent of the amount of required qualifying investment, the business shall repay 25 percent of the amount of the tax incentives received or incentives will be reduced by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and qualifying investment shortfalls. If a business has a shortfall in both qualifying investment and job requirements, the repayment amount or reduction of tax incentives shall be the same proportion as the greater of the two shortfalls. For example, if a business creates 50 percent of the required jobs and meets 75 percent of the required qualifying investment, the business shall repay 50 percent of the amount of the tax incentives received or tax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Benefits. Notwithstanding any other provision in this subrule, if a business fails to comply with the benefit requirements of the agreement, the business shall repay all of the tax incentives received or tax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Minimum eligibility. Notwithstanding any other provision in this subrule, if a business fails to maintain eligibility for the program, the business shall repay all of the tax incentives received or tax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default. </w:t>
      </w:r>
      <w:r>
        <w:rPr>
          <w:rFonts w:ascii="Times New Roman" w:hAnsi="Times New Roman"/>
          <w:b w:val="false"/>
          <w:i w:val="false"/>
          <w:color w:val="000000"/>
          <w:sz w:val="22"/>
        </w:rPr>
        <w:t xml:space="preserve">The authority will notify a business and community of an event of default as described in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67.6(10)</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Agreement amendments must comply with Iowa Code sections 15.490 through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and this chapter. Recipients may submit requests for amendments to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5">
        <w:r>
          <w:rPr>
            <w:rStyle w:val="Hyperlink"/>
            <w:rFonts w:ascii="Times New Roman" w:hAnsi="Times New Roman"/>
            <w:b w:val="false"/>
            <w:i w:val="false"/>
            <w:color w:val="000000"/>
            <w:sz w:val="22"/>
          </w:rPr>
          <w:t>67.6(10)</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requests for amendments shall not be effective unless approved by the due diligence committee established pursuant to </w:t>
      </w:r>
      <w:hyperlink r:id="rId26">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Authority staff may approve nonsubstantive changes,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Recipient name, address and similar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Line item budget changes that do not reduce overall total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to tax credit amortization schedules.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261—67.7</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 xml:space="preserve">The authority will count created jobs using a base employment analysis comparing the base employment level to employment at another date. The business’s base employment level will be established at the time of application for the program. The number of qualified jobs the business has pledged to create shall be in addition to the 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that are employed in this state but are not employed at the 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collect payroll documents to calculate and verify the base employment level used in each award. Payroll documents must include a name or employee identification number and the hourly rate of pay for all full-time equivalent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At the project completion date, during the maintenance period, and following the maintenance period completion date, 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r>
        <w:rPr>
          <w:rFonts w:ascii="Times New Roman" w:hAnsi="Times New Roman"/>
          <w:b w:val="false"/>
          <w:i w:val="false"/>
          <w:color w:val="000000"/>
          <w:sz w:val="22"/>
        </w:rPr>
        <w:t>Only a full-time equivalent position filled by an individual will be considered an employee of the business for the purpose of establishing the base employment level or created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 </w:t>
      </w:r>
    </w:p>
    <w:p>
      <w:pPr>
        <w:spacing w:before="0" w:after="0"/>
        <w:ind w:left="120"/>
        <w:jc w:val="both"/>
      </w:pPr>
      <w:r>
        <w:rPr>
          <w:rFonts w:ascii="Times New Roman" w:hAnsi="Times New Roman"/>
          <w:b w:val="false"/>
          <w:i w:val="false"/>
          <w:color w:val="000000"/>
          <w:sz w:val="22"/>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 business’s leased or contract employee may be included in the base employment level or as a created job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program benefits has a legally binding contract with a third-party provider to provide the leased or contract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submit payroll records to the authority, in form and content and as frequently as required by the authority, for purposes of verifying that the business’s created job and benefit requirements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authorizes the authority, or its authorized representatives, to access the third-party provider’s records related to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receiving the program benefits agrees to be contractually liable to the authority for the performance or nonperformance of the third-party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67.7(6)</w:t>
      </w:r>
      <w:r>
        <w:rPr>
          <w:rFonts w:ascii="Times New Roman" w:hAnsi="Times New Roman"/>
          <w:b w:val="false"/>
          <w:i w:val="false"/>
          <w:color w:val="000000"/>
          <w:sz w:val="22"/>
        </w:rPr>
        <w:t> </w:t>
      </w:r>
      <w:r>
        <w:rPr>
          <w:rFonts w:ascii="Times New Roman" w:hAnsi="Times New Roman"/>
          <w:b w:val="false"/>
          <w:i/>
          <w:color w:val="000000"/>
          <w:sz w:val="22"/>
        </w:rPr>
        <w:t xml:space="preserve">Displaced employees. </w:t>
      </w:r>
      <w:r>
        <w:rPr>
          <w:rFonts w:ascii="Times New Roman" w:hAnsi="Times New Roman"/>
          <w:b w:val="false"/>
          <w:i w:val="false"/>
          <w:color w:val="000000"/>
          <w:sz w:val="22"/>
        </w:rPr>
        <w:t>Pursuant to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the authority shall reduce a business’s job projections by the number of jobs displaced from competing businesses based on a good-faith estimate of such number of such displaced jobs when the authority determines the proposed number of created jobs applicable to a project. The authority shall have sole discretion to determine whether a job is displaced from a competing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261—67.8</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wage requirements. </w:t>
      </w:r>
      <w:r>
        <w:rPr>
          <w:rFonts w:ascii="Times New Roman" w:hAnsi="Times New Roman"/>
          <w:b w:val="false"/>
          <w:i w:val="false"/>
          <w:color w:val="000000"/>
          <w:sz w:val="22"/>
        </w:rPr>
        <w:t xml:space="preserve">Created jobs shall meet the qualifying wage threshold requirements as established pursuant to this rule and as indicated in an agreement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 Jobs that do not meet the qualifying wage threshold requirements will not be counted toward a business’s job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establishing qualifying wage threshold as defined in Iowa Code section 15.491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 “laborshed area” means the geographic area surrounding an employment center from which the employment center draws its commuting workers as defined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val="false"/>
          <w:color w:val="000000"/>
          <w:sz w:val="22"/>
        </w:rPr>
        <w:t>The authority will update the qualifying wage thresholds annually each fiscal year. The thresholds will take effect on September 1 of each fiscal year and remain in effect until August 31 of the following fiscal year. If the authority determines that the laborshed wage of a laborshed area would increase by more than one dollar per hour, the authority will limit the increase to the qualifying wage threshold for that laborshed area for that annual update to one dollar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the laborshed wage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current covered wage and employment data available from the department of workforce development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will be computed as a mean wage figure and represented in terms of an hourly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the wages paid by employers for jobs performed within the first two zones of a laborshed area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those wages within two standard deviations from the mean wage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67.8(4)</w:t>
      </w:r>
      <w:r>
        <w:rPr>
          <w:rFonts w:ascii="Times New Roman" w:hAnsi="Times New Roman"/>
          <w:b w:val="false"/>
          <w:i w:val="false"/>
          <w:color w:val="000000"/>
          <w:sz w:val="22"/>
        </w:rPr>
        <w:t> </w:t>
      </w:r>
      <w:r>
        <w:rPr>
          <w:rFonts w:ascii="Times New Roman" w:hAnsi="Times New Roman"/>
          <w:b w:val="false"/>
          <w:i w:val="false"/>
          <w:color w:val="000000"/>
          <w:sz w:val="22"/>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15.490 through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and Iowa Code section </w:t>
      </w:r>
      <w:hyperlink r:id="rId27">
        <w:r>
          <w:rPr>
            <w:rStyle w:val="Hyperlink"/>
            <w:rFonts w:ascii="Times New Roman" w:hAnsi="Times New Roman"/>
            <w:b w:val="false"/>
            <w:i w:val="false"/>
            <w:color w:val="000000"/>
            <w:sz w:val="22"/>
          </w:rPr>
          <w:t>15A.1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8196C</w:t>
      </w:r>
      <w:r>
        <w:rPr>
          <w:rFonts w:ascii="Times New Roman" w:hAnsi="Times New Roman"/>
          <w:b w:val="false"/>
          <w:i w:val="false"/>
          <w:color w:val="000000"/>
          <w:sz w:val="21"/>
        </w:rPr>
        <w:t xml:space="preserve"> (Notice ARC 8047C, IAB 6/12/24)</w:t>
      </w:r>
      <w:r>
        <w:rPr>
          <w:rFonts w:ascii="Times New Roman" w:hAnsi="Times New Roman"/>
          <w:b w:val="false"/>
          <w:i w:val="false"/>
          <w:color w:val="000000"/>
          <w:sz w:val="21"/>
        </w:rPr>
        <w:t>, IAB 8/21/24, effective 7/26/24]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9I.pdf" Type="http://schemas.openxmlformats.org/officeDocument/2006/relationships/hyperlink" Id="rId6"/>
    <Relationship TargetMode="External" Target="https://www.legis.iowa.gov/docs/iac/rule/261.67.2.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ac/rule/261.67.2.pdf" Type="http://schemas.openxmlformats.org/officeDocument/2006/relationships/hyperlink" Id="rId10"/>
    <Relationship TargetMode="External" Target="https://www.legis.iowa.gov/docs/ico/chapter/15.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ac/rule/261.67.3.pdf" Type="http://schemas.openxmlformats.org/officeDocument/2006/relationships/hyperlink" Id="rId13"/>
    <Relationship TargetMode="External" Target="https://www.legis.iowa.gov/docs/iac/rule/261.67.3.pdf" Type="http://schemas.openxmlformats.org/officeDocument/2006/relationships/hyperlink" Id="rId14"/>
    <Relationship TargetMode="External" Target="https://www.legis.iowa.gov/docs/iac/rule/261.67.8.pdf" Type="http://schemas.openxmlformats.org/officeDocument/2006/relationships/hyperlink" Id="rId15"/>
    <Relationship TargetMode="External" Target="https://www.legis.iowa.gov/docs/iac/rule/261.67.7.pdf" Type="http://schemas.openxmlformats.org/officeDocument/2006/relationships/hyperlink" Id="rId16"/>
    <Relationship TargetMode="External" Target="https://www.legis.iowa.gov/docs/iac/rule/261.1.3.pdf" Type="http://schemas.openxmlformats.org/officeDocument/2006/relationships/hyperlink" Id="rId17"/>
    <Relationship TargetMode="External" Target="https://www.legis.iowa.gov/docs/iac/rule/261.67.2.pdf" Type="http://schemas.openxmlformats.org/officeDocument/2006/relationships/hyperlink" Id="rId18"/>
    <Relationship TargetMode="External" Target="https://www.legis.iowa.gov/docs/iac/rule/261.67.3.pdf" Type="http://schemas.openxmlformats.org/officeDocument/2006/relationships/hyperlink" Id="rId19"/>
    <Relationship TargetMode="External" Target="https://www.legis.iowa.gov/docs/ico/chapter/9I.pdf" Type="http://schemas.openxmlformats.org/officeDocument/2006/relationships/hyperlink" Id="rId20"/>
    <Relationship TargetMode="External" Target="https://www.legis.iowa.gov/docs/ico/chapter/9I.pdf" Type="http://schemas.openxmlformats.org/officeDocument/2006/relationships/hyperlink" Id="rId21"/>
    <Relationship TargetMode="External" Target="https://www.legis.iowa.gov/docs/iac/rule/261.67.2.pdf" Type="http://schemas.openxmlformats.org/officeDocument/2006/relationships/hyperlink" Id="rId22"/>
    <Relationship TargetMode="External" Target="https://www.legis.iowa.gov/docs/iac/rule/261.67.7.pdf" Type="http://schemas.openxmlformats.org/officeDocument/2006/relationships/hyperlink" Id="rId23"/>
    <Relationship TargetMode="External" Target="https://www.legis.iowa.gov/docs/ico/chapter/15A.pdf" Type="http://schemas.openxmlformats.org/officeDocument/2006/relationships/hyperlink" Id="rId24"/>
    <Relationship TargetMode="External" Target="https://www.legis.iowa.gov/docs/iac/rule/261.67.6.pdf" Type="http://schemas.openxmlformats.org/officeDocument/2006/relationships/hyperlink" Id="rId25"/>
    <Relationship TargetMode="External" Target="https://www.legis.iowa.gov/docs/iac/rule/261.1.3.pdf" Type="http://schemas.openxmlformats.org/officeDocument/2006/relationships/hyperlink" Id="rId26"/>
    <Relationship TargetMode="External" Target="https://www.legis.iowa.gov/docs/ico/chapter/15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