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INVESTIGATORY SUBPOENAS</w:t>
      </w:r>
    </w:p>
    <w:p>
      <w:pPr>
        <w:spacing w:before="0" w:after="0"/>
        <w:ind w:left="120"/>
        <w:jc w:val="both"/>
      </w:pPr>
      <w:r>
        <w:rPr>
          <w:rFonts w:ascii="Times New Roman" w:hAnsi="Times New Roman"/>
          <w:b/>
          <w:i w:val="false"/>
          <w:color w:val="000000"/>
          <w:sz w:val="22"/>
        </w:rPr>
        <w:t>193—6.1</w:t>
      </w:r>
      <w:r>
        <w:rPr>
          <w:rFonts w:ascii="Times New Roman" w:hAnsi="Times New Roman"/>
          <w:b/>
          <w:i w:val="false"/>
          <w:color w:val="000000"/>
          <w:sz w:val="22"/>
        </w:rPr>
        <w:t xml:space="preserve">(17A,272C,542,542B,543B,543D,544A,544B,544C) </w:t>
      </w:r>
      <w:r>
        <w:rPr>
          <w:rFonts w:ascii="Times New Roman" w:hAnsi="Times New Roman"/>
          <w:b/>
          <w:i w:val="false"/>
          <w:color w:val="000000"/>
          <w:sz w:val="22"/>
        </w:rPr>
        <w:t xml:space="preserve">Investigatory subpoena authority. </w:t>
      </w:r>
      <w:r>
        <w:rPr>
          <w:rFonts w:ascii="Times New Roman" w:hAnsi="Times New Roman"/>
          <w:b w:val="false"/>
          <w:i w:val="false"/>
          <w:color w:val="000000"/>
          <w:sz w:val="22"/>
        </w:rPr>
        <w:t xml:space="preserve">Pursuant to Iowa Code sections </w:t>
      </w:r>
      <w:hyperlink r:id="rId4">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professional licensing boards, as defined in </w:t>
      </w:r>
      <w:hyperlink r:id="rId6">
        <w:r>
          <w:rPr>
            <w:rStyle w:val="Hyperlink"/>
            <w:rFonts w:ascii="Times New Roman" w:hAnsi="Times New Roman"/>
            <w:b w:val="false"/>
            <w:i w:val="false"/>
            <w:color w:val="000000"/>
            <w:sz w:val="22"/>
          </w:rPr>
          <w:t>191—Chapter 1</w:t>
        </w:r>
      </w:hyperlink>
      <w:r>
        <w:rPr>
          <w:rFonts w:ascii="Times New Roman" w:hAnsi="Times New Roman"/>
          <w:b w:val="false"/>
          <w:i w:val="false"/>
          <w:color w:val="000000"/>
          <w:sz w:val="22"/>
        </w:rPr>
        <w:t xml:space="preserve">, have the authority to issue subpoenas to compel the production of professional records, books, papers, correspondence and other records that are deemed necessary as evidence in connection with the investigation of a licensee disciplinary proceeding, or otherwise necessary for the board to determine whether to commence a contested case. When such an investigation involves licensee discipline, the board may subpoena such evidence whether or not privileged or confidential under law. To ensure consistency in procedure, all boards will issue investigatory subpoenas according to the uniform procedures set forth in </w:t>
      </w:r>
      <w:hyperlink r:id="rId7">
        <w:r>
          <w:rPr>
            <w:rStyle w:val="Hyperlink"/>
            <w:rFonts w:ascii="Times New Roman" w:hAnsi="Times New Roman"/>
            <w:b w:val="false"/>
            <w:i w:val="false"/>
            <w:color w:val="000000"/>
            <w:sz w:val="22"/>
          </w:rPr>
          <w:t>rule 193—6.2(17A,272C,542,542B,543B,543D,544A,544B,544C)</w:t>
        </w:r>
      </w:hyperlink>
      <w:r>
        <w:rPr>
          <w:rFonts w:ascii="Times New Roman" w:hAnsi="Times New Roman"/>
          <w:b w:val="false"/>
          <w:i w:val="false"/>
          <w:color w:val="000000"/>
          <w:sz w:val="22"/>
        </w:rPr>
        <w:t>. Given the range of investigative options otherwise utilized by each board, additional detail on investigative procedures is provided separately in each board’s individual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193—6.2</w:t>
      </w:r>
      <w:r>
        <w:rPr>
          <w:rFonts w:ascii="Times New Roman" w:hAnsi="Times New Roman"/>
          <w:b/>
          <w:i w:val="false"/>
          <w:color w:val="000000"/>
          <w:sz w:val="22"/>
        </w:rPr>
        <w:t xml:space="preserve">(17A,272C,542,542B,543B,543D,544A,544B,544C) </w:t>
      </w:r>
      <w:r>
        <w:rPr>
          <w:rFonts w:ascii="Times New Roman" w:hAnsi="Times New Roman"/>
          <w:b/>
          <w:i w:val="false"/>
          <w:color w:val="000000"/>
          <w:sz w:val="22"/>
        </w:rPr>
        <w:t xml:space="preserve">Investigatory subpoena procedures. </w:t>
      </w:r>
    </w:p>
    <w:p>
      <w:pPr>
        <w:spacing w:before="0" w:after="0"/>
        <w:ind w:left="120"/>
        <w:jc w:val="both"/>
      </w:pP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val="false"/>
          <w:color w:val="000000"/>
          <w:sz w:val="22"/>
        </w:rPr>
        <w:t>The board’s executive officer or designee may, upon the written request of a board investigator or on the officer’s own initiative, subpoena books, papers, records, and other real evidence that the officer determines are necessary for the board to decide whether to institute a contested case proceeding. In the case of a subpoena for mental health records, each of the following conditions need to be satisfied prior to the issuance of the subpoena: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nature of the complaint reasonably justifies the issuance of a subpoena;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Adequate safeguards have been established to prevent unauthorized disclosure;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patient was notified and an attempt was made to secure an authorization from the patient for release of the records at issue.</w:t>
      </w:r>
    </w:p>
    <w:p>
      <w:pPr>
        <w:spacing w:before="0" w:after="0"/>
        <w:ind w:left="120"/>
        <w:jc w:val="both"/>
      </w:pP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val="false"/>
          <w:color w:val="000000"/>
          <w:sz w:val="22"/>
        </w:rPr>
        <w:t>A written request for a subpoena or the executive officer’s written memorandum in support of the issuance of a subpoena will contain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name and address of the person to whom the subpoena will be directed;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specific description of the books, papers, records or other real evidence requested;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An explanation of the reasons that the documents sought to be subpoenaed are necessary for the board to determine whether it should institute a contested case proceeding;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In the case of a subpoena request for mental health records, confirmation that the conditions described in </w:t>
      </w:r>
      <w:hyperlink r:id="rId8">
        <w:r>
          <w:rPr>
            <w:rStyle w:val="Hyperlink"/>
            <w:rFonts w:ascii="Times New Roman" w:hAnsi="Times New Roman"/>
            <w:b w:val="false"/>
            <w:i w:val="false"/>
            <w:color w:val="000000"/>
            <w:sz w:val="22"/>
          </w:rPr>
          <w:t>subrule 6.2(1)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i w:val="false"/>
          <w:color w:val="000000"/>
          <w:sz w:val="22"/>
        </w:rPr>
        <w:t>6.2(3)</w:t>
      </w:r>
      <w:r>
        <w:rPr>
          <w:rFonts w:ascii="Times New Roman" w:hAnsi="Times New Roman"/>
          <w:b w:val="false"/>
          <w:i w:val="false"/>
          <w:color w:val="000000"/>
          <w:sz w:val="22"/>
        </w:rPr>
        <w:t> </w:t>
      </w:r>
      <w:r>
        <w:rPr>
          <w:rFonts w:ascii="Times New Roman" w:hAnsi="Times New Roman"/>
          <w:b w:val="false"/>
          <w:i w:val="false"/>
          <w:color w:val="000000"/>
          <w:sz w:val="22"/>
        </w:rPr>
        <w:t>Each subpoena will contain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name and address of the person to whom the subpoena is directed;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description of the books, papers, records or other real evidence requested;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date, time and location for production, or inspection and copying;</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The time within which a motion to quash or modify the subpoena needs to be filed;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The signature, address and telephone number of the executive officer or designee;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The date of issuance;</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i w:val="false"/>
          <w:color w:val="000000"/>
          <w:sz w:val="22"/>
        </w:rPr>
        <w:t>6.2(4)</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who desires to challenge the subpoena needs to file a motion with the board to quash or modify the subpoena within 14 days after service of the subpoena, or before the time specified for compliance if such time is less than 14 days. The motion will describe the legal reasons why the subpoena should be quashed or modified, and may be accompanied by legal briefs or factual affidavits.</w:t>
      </w:r>
    </w:p>
    <w:p>
      <w:pPr>
        <w:spacing w:before="0" w:after="0"/>
        <w:ind w:left="120"/>
        <w:jc w:val="both"/>
      </w:pPr>
      <w:r>
        <w:rPr>
          <w:rFonts w:ascii="Times New Roman" w:hAnsi="Times New Roman"/>
          <w:b/>
          <w:i w:val="false"/>
          <w:color w:val="000000"/>
          <w:sz w:val="22"/>
        </w:rPr>
        <w:t>6.2(5)</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may issue a decision or may request an administrative law judge to issue a decision. The administrative law judge or the board may quash or modify the subpoena, deny the motion, or issue an appropriate protective order. Prior to ruling on the motion, the board or administrative law judge may schedule oral argument or hearing by telephone or in person.</w:t>
      </w:r>
    </w:p>
    <w:p>
      <w:pPr>
        <w:spacing w:before="0" w:after="0"/>
        <w:ind w:left="120"/>
        <w:jc w:val="both"/>
      </w:pPr>
      <w:r>
        <w:rPr>
          <w:rFonts w:ascii="Times New Roman" w:hAnsi="Times New Roman"/>
          <w:b/>
          <w:i w:val="false"/>
          <w:color w:val="000000"/>
          <w:sz w:val="22"/>
        </w:rPr>
        <w:t>6.2(6)</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the ruling needs to appeal the ruling to the board in accordance with the procedure applicable to intra-agency appeals of proposed decisions provided that all of the time frames are reduced by one-half.</w:t>
      </w:r>
    </w:p>
    <w:p>
      <w:pPr>
        <w:spacing w:before="0" w:after="0"/>
        <w:ind w:left="120"/>
        <w:jc w:val="both"/>
      </w:pPr>
      <w:r>
        <w:rPr>
          <w:rFonts w:ascii="Times New Roman" w:hAnsi="Times New Roman"/>
          <w:b/>
          <w:i w:val="false"/>
          <w:color w:val="000000"/>
          <w:sz w:val="22"/>
        </w:rPr>
        <w:t>6.2(7)</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(1) the person is notified that the investigation has been concluded with no formal action, or (2)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8090C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4/25/01, Notice 3/7/01—published 5/16/01, effective 6/20/01]</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[Filed ARC 8090C</w:t>
      </w:r>
      <w:r>
        <w:rPr>
          <w:rFonts w:ascii="Times New Roman" w:hAnsi="Times New Roman"/>
          <w:b w:val="false"/>
          <w:i w:val="false"/>
          <w:color w:val="000000"/>
          <w:sz w:val="21"/>
        </w:rPr>
        <w:t xml:space="preserve"> (Notice ARC 7516C,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ac/chapter/191.1.pdf" Type="http://schemas.openxmlformats.org/officeDocument/2006/relationships/hyperlink" Id="rId6"/>
    <Relationship TargetMode="External" Target="https://www.legis.iowa.gov/docs/iac/rule/193.6.2.pdf" Type="http://schemas.openxmlformats.org/officeDocument/2006/relationships/hyperlink" Id="rId7"/>
    <Relationship TargetMode="External" Target="https://www.legis.iowa.gov/docs/iac/rule/193.6.2.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272C.pdf" Type="http://schemas.openxmlformats.org/officeDocument/2006/relationships/hyperlink" Id="rId10"/>
    <Relationship TargetMode="External" Target="https://www.legis.iowa.gov/docs/ico/chapter/542.pdf" Type="http://schemas.openxmlformats.org/officeDocument/2006/relationships/hyperlink" Id="rId11"/>
    <Relationship TargetMode="External" Target="https://www.legis.iowa.gov/docs/ico/chapter/542B.pdf" Type="http://schemas.openxmlformats.org/officeDocument/2006/relationships/hyperlink" Id="rId12"/>
    <Relationship TargetMode="External" Target="https://www.legis.iowa.gov/docs/ico/chapter/543B.pdf" Type="http://schemas.openxmlformats.org/officeDocument/2006/relationships/hyperlink" Id="rId13"/>
    <Relationship TargetMode="External" Target="https://www.legis.iowa.gov/docs/ico/chapter/543D.pdf" Type="http://schemas.openxmlformats.org/officeDocument/2006/relationships/hyperlink" Id="rId14"/>
    <Relationship TargetMode="External" Target="https://www.legis.iowa.gov/docs/ico/chapter/544A.pdf" Type="http://schemas.openxmlformats.org/officeDocument/2006/relationships/hyperlink" Id="rId15"/>
    <Relationship TargetMode="External" Target="https://www.legis.iowa.gov/docs/ico/chapter/544B.pdf" Type="http://schemas.openxmlformats.org/officeDocument/2006/relationships/hyperlink" Id="rId16"/>
    <Relationship TargetMode="External" Target="https://www.legis.iowa.gov/docs/ico/chapter/544C.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