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VENDOR APPEALS</w:t>
      </w:r>
    </w:p>
    <w:p>
      <w:pPr>
        <w:spacing w:before="0" w:after="0"/>
        <w:ind w:left="120"/>
        <w:jc w:val="both"/>
      </w:pPr>
      <w:r>
        <w:rPr>
          <w:rFonts w:ascii="Times New Roman" w:hAnsi="Times New Roman"/>
          <w:b/>
          <w:i w:val="false"/>
          <w:color w:val="000000"/>
          <w:sz w:val="22"/>
        </w:rPr>
        <w:t>193—3.1</w:t>
      </w:r>
      <w:r>
        <w:rPr>
          <w:rFonts w:ascii="Times New Roman" w:hAnsi="Times New Roman"/>
          <w:b/>
          <w:i w:val="false"/>
          <w:color w:val="000000"/>
          <w:sz w:val="22"/>
        </w:rPr>
        <w:t xml:space="preserve">(546)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outlines a uniform process for vendor appeals for all professional licensing boards as defined in </w:t>
      </w:r>
      <w:hyperlink r:id="rId4">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 The process is applicable only when board services are acquired through a formal bidding procedure not handled by the department of administrative services or the office of the chief information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193—3.2</w:t>
      </w:r>
      <w:r>
        <w:rPr>
          <w:rFonts w:ascii="Times New Roman" w:hAnsi="Times New Roman"/>
          <w:b/>
          <w:i w:val="false"/>
          <w:color w:val="000000"/>
          <w:sz w:val="22"/>
        </w:rPr>
        <w:t xml:space="preserve">(546) </w:t>
      </w:r>
      <w:r>
        <w:rPr>
          <w:rFonts w:ascii="Times New Roman" w:hAnsi="Times New Roman"/>
          <w:b/>
          <w:i w:val="false"/>
          <w:color w:val="000000"/>
          <w:sz w:val="22"/>
        </w:rPr>
        <w:t xml:space="preserve">Vendor appeals. </w:t>
      </w:r>
      <w:r>
        <w:rPr>
          <w:rFonts w:ascii="Times New Roman" w:hAnsi="Times New Roman"/>
          <w:b w:val="false"/>
          <w:i w:val="false"/>
          <w:color w:val="000000"/>
          <w:sz w:val="22"/>
        </w:rPr>
        <w:t>Any vendor whose bid or proposal has been timely filed and who is aggrieved by the award of the board may appeal by filing a written notice of appeal with the board within five days of the date of the award, exclusive of Saturdays, Sundays, and legal state holidays. A written notice may be filed by email. The notice of appeal needs to state the vendor’s completed legal name, street address, telephone number, email address, and the specific grounds upon which the vendor challenges the board’s award, including the legal authority, if any, and be received by the board within the time frame specified to be considered timely. The notice of appeal commences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193—3.3</w:t>
      </w:r>
      <w:r>
        <w:rPr>
          <w:rFonts w:ascii="Times New Roman" w:hAnsi="Times New Roman"/>
          <w:b/>
          <w:i w:val="false"/>
          <w:color w:val="000000"/>
          <w:sz w:val="22"/>
        </w:rPr>
        <w:t xml:space="preserve">(546) </w:t>
      </w:r>
      <w:r>
        <w:rPr>
          <w:rFonts w:ascii="Times New Roman" w:hAnsi="Times New Roman"/>
          <w:b/>
          <w:i w:val="false"/>
          <w:color w:val="000000"/>
          <w:sz w:val="22"/>
        </w:rPr>
        <w:t xml:space="preserve">Procedures for vendor appeals. </w:t>
      </w:r>
      <w:r>
        <w:rPr>
          <w:rFonts w:ascii="Times New Roman" w:hAnsi="Times New Roman"/>
          <w:b w:val="false"/>
          <w:i w:val="false"/>
          <w:color w:val="000000"/>
          <w:sz w:val="22"/>
        </w:rPr>
        <w:t>Each board’s procedures for licensee disciplinary hearings are applicable, except as provided in these rules.</w:t>
      </w:r>
    </w:p>
    <w:p>
      <w:pPr>
        <w:spacing w:before="0" w:after="0"/>
        <w:ind w:left="120"/>
        <w:jc w:val="both"/>
      </w:pP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Upon receipt of a notice of vendor appeal, the board will issue a written notice of the date, time and location of the appeal hearing to both the aggrieved vendor or vendors and the successful vendor. Service of the written notice of hearing will be sent to the email address provided by the appellant unless the appellant specifically requests that notice be sent by certified mail. A hearing will be held within 60 days of the date the notice of appeal was received by the board.</w:t>
      </w:r>
    </w:p>
    <w:p>
      <w:pPr>
        <w:spacing w:before="0" w:after="0"/>
        <w:ind w:left="120"/>
        <w:jc w:val="both"/>
      </w:pP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All hearings are open to the public.</w:t>
      </w:r>
    </w:p>
    <w:p>
      <w:pPr>
        <w:spacing w:before="0" w:after="0"/>
        <w:ind w:left="120"/>
        <w:jc w:val="both"/>
      </w:pP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Discovery requests, if any, will be served by the parties within ten days of the filing of the notice of appeal. Discovery responses or objections are due at least seven business days prior to hearing.</w:t>
      </w:r>
    </w:p>
    <w:p>
      <w:pPr>
        <w:spacing w:before="0" w:after="0"/>
        <w:ind w:left="120"/>
        <w:jc w:val="both"/>
      </w:pP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val="false"/>
          <w:color w:val="000000"/>
          <w:sz w:val="22"/>
        </w:rPr>
        <w:t>At least three business days prior to the hearing, the parties will exchange witness and exhibit lists. The parties will be limited at hearing to the witnesses and exhibits timely disclosed unless the board finds good cause to allow additional witnesses or exhibits at hearing.</w:t>
      </w:r>
    </w:p>
    <w:p>
      <w:pPr>
        <w:spacing w:before="0" w:after="0"/>
        <w:ind w:left="120"/>
        <w:jc w:val="both"/>
      </w:pPr>
      <w:r>
        <w:rPr>
          <w:rFonts w:ascii="Times New Roman" w:hAnsi="Times New Roman"/>
          <w:b/>
          <w:i w:val="false"/>
          <w:color w:val="000000"/>
          <w:sz w:val="22"/>
        </w:rPr>
        <w:t>3.3(5)</w:t>
      </w:r>
      <w:r>
        <w:rPr>
          <w:rFonts w:ascii="Times New Roman" w:hAnsi="Times New Roman"/>
          <w:b w:val="false"/>
          <w:i w:val="false"/>
          <w:color w:val="000000"/>
          <w:sz w:val="22"/>
        </w:rPr>
        <w:t> </w:t>
      </w:r>
      <w:r>
        <w:rPr>
          <w:rFonts w:ascii="Times New Roman" w:hAnsi="Times New Roman"/>
          <w:b w:val="false"/>
          <w:i w:val="false"/>
          <w:color w:val="000000"/>
          <w:sz w:val="22"/>
        </w:rPr>
        <w:t>The hearing, at the option of the board or administrative law judge, may be conducted in person, by telephone, or virtually. When not conducted in person, all exhibits will be delivered to the board or administrative law judge no less than two business days prior to the hearing.</w:t>
      </w:r>
    </w:p>
    <w:p>
      <w:pPr>
        <w:spacing w:before="0" w:after="0"/>
        <w:ind w:left="120"/>
        <w:jc w:val="both"/>
      </w:pPr>
      <w:r>
        <w:rPr>
          <w:rFonts w:ascii="Times New Roman" w:hAnsi="Times New Roman"/>
          <w:b/>
          <w:i w:val="false"/>
          <w:color w:val="000000"/>
          <w:sz w:val="22"/>
        </w:rPr>
        <w:t>3.3(6)</w:t>
      </w:r>
      <w:r>
        <w:rPr>
          <w:rFonts w:ascii="Times New Roman" w:hAnsi="Times New Roman"/>
          <w:b w:val="false"/>
          <w:i w:val="false"/>
          <w:color w:val="000000"/>
          <w:sz w:val="22"/>
        </w:rPr>
        <w:t> </w:t>
      </w:r>
      <w:r>
        <w:rPr>
          <w:rFonts w:ascii="Times New Roman" w:hAnsi="Times New Roman"/>
          <w:b w:val="false"/>
          <w:i w:val="false"/>
          <w:color w:val="000000"/>
          <w:sz w:val="22"/>
        </w:rPr>
        <w:t>Oral proceedings will be recorded either by mechanized means or by certified shorthand reporters. Parties requesting that the hearing be recorded by certified shorthand will bear the costs. Copies of tapes of oral proceedings or transcripts of certified shorthand reporters will be paid for by the requester.</w:t>
      </w:r>
    </w:p>
    <w:p>
      <w:pPr>
        <w:spacing w:before="0" w:after="0"/>
        <w:ind w:left="120"/>
        <w:jc w:val="both"/>
      </w:pPr>
      <w:r>
        <w:rPr>
          <w:rFonts w:ascii="Times New Roman" w:hAnsi="Times New Roman"/>
          <w:b/>
          <w:i w:val="false"/>
          <w:color w:val="000000"/>
          <w:sz w:val="22"/>
        </w:rPr>
        <w:t>3.3(7)</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award may petition for stay of the award pending its review. The petition will be filed with the notice of appeal and state the reasons justifying a stay. The filing of the petition for stay does not automatically stay the award. The board may grant a stay when it concludes that substantial legal or factual questions exist as to the propriety of the award, the party will suffer substantial and irreparable injury without the stay, and the interest of the public or licensees will not be significantly harmed. A stay may be vacated at any time upon application by any party or the board on its own motion with prior notice to all parties.</w:t>
      </w:r>
    </w:p>
    <w:p>
      <w:pPr>
        <w:spacing w:before="0" w:after="0"/>
        <w:ind w:left="120"/>
        <w:jc w:val="both"/>
      </w:pPr>
      <w:r>
        <w:rPr>
          <w:rFonts w:ascii="Times New Roman" w:hAnsi="Times New Roman"/>
          <w:b/>
          <w:i w:val="false"/>
          <w:color w:val="000000"/>
          <w:sz w:val="22"/>
        </w:rPr>
        <w:t>3.3(8)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the contested case includes all materials specified in Iowa Code section </w:t>
      </w:r>
      <w:hyperlink r:id="rId5">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xml:space="preserve"> and any other relevant procedural documents regardless of their form.</w:t>
      </w:r>
    </w:p>
    <w:p>
      <w:pPr>
        <w:spacing w:before="0" w:after="0"/>
        <w:ind w:left="120"/>
        <w:jc w:val="both"/>
      </w:pPr>
      <w:r>
        <w:rPr>
          <w:rFonts w:ascii="Times New Roman" w:hAnsi="Times New Roman"/>
          <w:b/>
          <w:i w:val="false"/>
          <w:color w:val="000000"/>
          <w:sz w:val="22"/>
        </w:rPr>
        <w:t>3.3(9)</w:t>
      </w:r>
      <w:r>
        <w:rPr>
          <w:rFonts w:ascii="Times New Roman" w:hAnsi="Times New Roman"/>
          <w:b w:val="false"/>
          <w:i w:val="false"/>
          <w:color w:val="000000"/>
          <w:sz w:val="22"/>
        </w:rPr>
        <w:t> </w:t>
      </w:r>
      <w:r>
        <w:rPr>
          <w:rFonts w:ascii="Times New Roman" w:hAnsi="Times New Roman"/>
          <w:b w:val="false"/>
          <w:i w:val="false"/>
          <w:color w:val="000000"/>
          <w:sz w:val="22"/>
        </w:rPr>
        <w:t>The board or administrative law judge may request the parties to submit proposed findings and conclusions or briefs.</w:t>
      </w:r>
    </w:p>
    <w:p>
      <w:pPr>
        <w:spacing w:before="0" w:after="0"/>
        <w:ind w:left="120"/>
        <w:jc w:val="both"/>
      </w:pPr>
      <w:r>
        <w:rPr>
          <w:rFonts w:ascii="Times New Roman" w:hAnsi="Times New Roman"/>
          <w:b/>
          <w:i w:val="false"/>
          <w:color w:val="000000"/>
          <w:sz w:val="22"/>
        </w:rPr>
        <w:t>3.3(10)</w:t>
      </w:r>
      <w:r>
        <w:rPr>
          <w:rFonts w:ascii="Times New Roman" w:hAnsi="Times New Roman"/>
          <w:b w:val="false"/>
          <w:i w:val="false"/>
          <w:color w:val="000000"/>
          <w:sz w:val="22"/>
        </w:rPr>
        <w:t> </w:t>
      </w:r>
      <w:r>
        <w:rPr>
          <w:rFonts w:ascii="Times New Roman" w:hAnsi="Times New Roman"/>
          <w:b w:val="false"/>
          <w:i w:val="false"/>
          <w:color w:val="000000"/>
          <w:sz w:val="22"/>
        </w:rPr>
        <w:t>Any request for continuance needs to be in writing, specifying the grounds, and filed no later than seven business days prior to hearing.</w:t>
      </w:r>
    </w:p>
    <w:p>
      <w:pPr>
        <w:spacing w:before="0" w:after="0"/>
        <w:ind w:left="120"/>
        <w:jc w:val="both"/>
      </w:pPr>
      <w:r>
        <w:rPr>
          <w:rFonts w:ascii="Times New Roman" w:hAnsi="Times New Roman"/>
          <w:b/>
          <w:i w:val="false"/>
          <w:color w:val="000000"/>
          <w:sz w:val="22"/>
        </w:rPr>
        <w:t>3.3(11)</w:t>
      </w:r>
      <w:r>
        <w:rPr>
          <w:rFonts w:ascii="Times New Roman" w:hAnsi="Times New Roman"/>
          <w:b w:val="false"/>
          <w:i w:val="false"/>
          <w:color w:val="000000"/>
          <w:sz w:val="22"/>
        </w:rPr>
        <w:t> </w:t>
      </w:r>
      <w:r>
        <w:rPr>
          <w:rFonts w:ascii="Times New Roman" w:hAnsi="Times New Roman"/>
          <w:b w:val="false"/>
          <w:i w:val="false"/>
          <w:color w:val="000000"/>
          <w:sz w:val="22"/>
        </w:rPr>
        <w:t>Requests for rehearing need to be made to the board within 20 days of issuing a final decision. A rehearing may be granted when new legal issues are raised, new evidence is available, an obvious mistake is corrected, or when the decision is not necessary to exhaust administrative remedies.</w:t>
      </w:r>
    </w:p>
    <w:p>
      <w:pPr>
        <w:spacing w:before="0" w:after="0"/>
        <w:ind w:left="120"/>
        <w:jc w:val="both"/>
      </w:pPr>
      <w:r>
        <w:rPr>
          <w:rFonts w:ascii="Times New Roman" w:hAnsi="Times New Roman"/>
          <w:b/>
          <w:i w:val="false"/>
          <w:color w:val="000000"/>
          <w:sz w:val="22"/>
        </w:rPr>
        <w:t>3.3(12)</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the board’s final decision may be sought in accordance with the contested case provisions of Iowa Code section </w:t>
      </w:r>
      <w:hyperlink r:id="rId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193—3.4</w:t>
      </w:r>
      <w:r>
        <w:rPr>
          <w:rFonts w:ascii="Times New Roman" w:hAnsi="Times New Roman"/>
          <w:b/>
          <w:i w:val="false"/>
          <w:color w:val="000000"/>
          <w:sz w:val="22"/>
        </w:rPr>
        <w:t xml:space="preserve">(546) </w:t>
      </w:r>
      <w:r>
        <w:rPr>
          <w:rFonts w:ascii="Times New Roman" w:hAnsi="Times New Roman"/>
          <w:b/>
          <w:i w:val="false"/>
          <w:color w:val="000000"/>
          <w:sz w:val="22"/>
        </w:rPr>
        <w:t xml:space="preserve">Procedures for board referral to an administrative law judge. </w:t>
      </w:r>
      <w:r>
        <w:rPr>
          <w:rFonts w:ascii="Times New Roman" w:hAnsi="Times New Roman"/>
          <w:b w:val="false"/>
          <w:i w:val="false"/>
          <w:color w:val="000000"/>
          <w:sz w:val="22"/>
        </w:rPr>
        <w:t xml:space="preserve">The board, in its discretion, may refer a vendor appeal for hearing before a qualified administrative law judge. The hearing procedures will be substantially the same, but the ruling of an administrative law judge acting as the sole presiding officer will constitute a proposed decision. Board review of a proposed decision will be according to Iowa Code section </w:t>
      </w:r>
      <w:hyperlink r:id="rId7">
        <w:r>
          <w:rPr>
            <w:rStyle w:val="Hyperlink"/>
            <w:rFonts w:ascii="Times New Roman" w:hAnsi="Times New Roman"/>
            <w:b w:val="false"/>
            <w:i w:val="false"/>
            <w:color w:val="000000"/>
            <w:sz w:val="22"/>
          </w:rPr>
          <w:t>17A.15(2)</w:t>
        </w:r>
      </w:hyperlink>
      <w:r>
        <w:rPr>
          <w:rFonts w:ascii="Times New Roman" w:hAnsi="Times New Roman"/>
          <w:b w:val="false"/>
          <w:i w:val="false"/>
          <w:color w:val="000000"/>
          <w:sz w:val="22"/>
        </w:rPr>
        <w:t xml:space="preserve"> and this chapter. Nothing in this rule will prevent the board from hearing a vendor appeal with the assistance of an administrative law judge. This rule merely authorizes an alternative procedure. The appealing vendor may also request that an administrative law judge act as presiding officer pursuant to </w:t>
      </w:r>
      <w:hyperlink r:id="rId8">
        <w:r>
          <w:rPr>
            <w:rStyle w:val="Hyperlink"/>
            <w:rFonts w:ascii="Times New Roman" w:hAnsi="Times New Roman"/>
            <w:b w:val="false"/>
            <w:i w:val="false"/>
            <w:color w:val="000000"/>
            <w:sz w:val="22"/>
          </w:rPr>
          <w:t>193—subrule 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The proposed decision will become the final decision of the board 14 days after mailing of the proposed decision, unless prior to that time a party submits an appeal of the proposed decision, or the board seeks review on its own motion.</w:t>
      </w:r>
    </w:p>
    <w:p>
      <w:pPr>
        <w:spacing w:before="0" w:after="0"/>
        <w:ind w:left="120"/>
        <w:jc w:val="both"/>
      </w:pP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Notice of an appeal for review of a proposed decision or notice of the board’s own review will be mailed to all parties by the board’s executive officer. Within 14 days after mailing of the notice of appeal or the board’s review, any party may submit to the board exceptions to and a brief in support of or in opposition to the proposed decision, copies of which will be mailed by the submitting party to all other parties to the proceeding. The board’s executive officer will notify the parties if oral argument will be heard and specify whether oral argument will be heard in person, by telephone or virtually. The executive officer will schedule the board’s review of the proposed decision not less than 30 days after mailing of the notice of appeal or the board’s own review.</w:t>
      </w:r>
    </w:p>
    <w:p>
      <w:pPr>
        <w:spacing w:before="0" w:after="0"/>
        <w:ind w:left="120"/>
        <w:jc w:val="both"/>
      </w:pP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Failure to appeal a proposed decision will preclude judicial review unless the board reviews on its own motion.</w:t>
      </w:r>
    </w:p>
    <w:p>
      <w:pPr>
        <w:spacing w:before="0" w:after="0"/>
        <w:ind w:left="120"/>
        <w:jc w:val="both"/>
      </w:pP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val="false"/>
          <w:color w:val="000000"/>
          <w:sz w:val="22"/>
        </w:rPr>
        <w:t>Review of a proposed decision will be based on the record and limited to the issues raised in the hearing. The issues will be specified in the notice of appeal of a proposed decision. The party requesting the review will be responsible for transcribing any tape of the oral proceedings or arranging for a transcript of oral proceedings reported by a certified shorthand reporter.</w:t>
      </w:r>
    </w:p>
    <w:p>
      <w:pPr>
        <w:spacing w:before="0" w:after="0"/>
        <w:ind w:left="120"/>
        <w:jc w:val="both"/>
      </w:pPr>
      <w:r>
        <w:rPr>
          <w:rFonts w:ascii="Times New Roman" w:hAnsi="Times New Roman"/>
          <w:b/>
          <w:i w:val="false"/>
          <w:color w:val="000000"/>
          <w:sz w:val="22"/>
        </w:rPr>
        <w:t>3.4(5)</w:t>
      </w:r>
      <w:r>
        <w:rPr>
          <w:rFonts w:ascii="Times New Roman" w:hAnsi="Times New Roman"/>
          <w:b w:val="false"/>
          <w:i w:val="false"/>
          <w:color w:val="000000"/>
          <w:sz w:val="22"/>
        </w:rPr>
        <w:t> </w:t>
      </w:r>
      <w:r>
        <w:rPr>
          <w:rFonts w:ascii="Times New Roman" w:hAnsi="Times New Roman"/>
          <w:b w:val="false"/>
          <w:i w:val="false"/>
          <w:color w:val="000000"/>
          <w:sz w:val="22"/>
        </w:rPr>
        <w:t>Each party will have the opportunity to file exceptions and present briefs. The executive officer may set deadlines for the submission of exceptions or briefs. If oral argument will be held, the executive officer shall notify all parties of the date, time and location at least ten days in advance.</w:t>
      </w:r>
    </w:p>
    <w:p>
      <w:pPr>
        <w:spacing w:before="0" w:after="0"/>
        <w:ind w:left="120"/>
        <w:jc w:val="both"/>
      </w:pPr>
      <w:r>
        <w:rPr>
          <w:rFonts w:ascii="Times New Roman" w:hAnsi="Times New Roman"/>
          <w:b/>
          <w:i w:val="false"/>
          <w:color w:val="000000"/>
          <w:sz w:val="22"/>
        </w:rPr>
        <w:t>3.4(6)</w:t>
      </w:r>
      <w:r>
        <w:rPr>
          <w:rFonts w:ascii="Times New Roman" w:hAnsi="Times New Roman"/>
          <w:b w:val="false"/>
          <w:i w:val="false"/>
          <w:color w:val="000000"/>
          <w:sz w:val="22"/>
        </w:rPr>
        <w:t> </w:t>
      </w:r>
      <w:r>
        <w:rPr>
          <w:rFonts w:ascii="Times New Roman" w:hAnsi="Times New Roman"/>
          <w:b w:val="false"/>
          <w:i w:val="false"/>
          <w:color w:val="000000"/>
          <w:sz w:val="22"/>
        </w:rPr>
        <w:t>The board will not receive any additional evidence, unless it grants an application to present additional evidence. Any such application will be filed by a party at least five business days in advance of oral argument. Additional evidence will be allowed only upon a showing that it is material to the outcome and that there were good reasons for failure to present it at hearing. If an application to present additional evidence is granted, the board will order the conditions under which it shall be presented.</w:t>
      </w:r>
    </w:p>
    <w:p>
      <w:pPr>
        <w:spacing w:before="0" w:after="0"/>
        <w:ind w:left="120"/>
        <w:jc w:val="both"/>
      </w:pPr>
      <w:r>
        <w:rPr>
          <w:rFonts w:ascii="Times New Roman" w:hAnsi="Times New Roman"/>
          <w:b/>
          <w:i w:val="false"/>
          <w:color w:val="000000"/>
          <w:sz w:val="22"/>
        </w:rPr>
        <w:t>3.4(7)</w:t>
      </w:r>
      <w:r>
        <w:rPr>
          <w:rFonts w:ascii="Times New Roman" w:hAnsi="Times New Roman"/>
          <w:b w:val="false"/>
          <w:i w:val="false"/>
          <w:color w:val="000000"/>
          <w:sz w:val="22"/>
        </w:rPr>
        <w:t> </w:t>
      </w:r>
      <w:r>
        <w:rPr>
          <w:rFonts w:ascii="Times New Roman" w:hAnsi="Times New Roman"/>
          <w:b w:val="false"/>
          <w:i w:val="false"/>
          <w:color w:val="000000"/>
          <w:sz w:val="22"/>
        </w:rPr>
        <w:t>The board’s final decision will be written and may incorporate all or part of the proposed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546.10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11/6/97, Notice 10/8/97—published 12/3/97, effective 1/7/98]</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2754C</w:t>
      </w:r>
      <w:r>
        <w:rPr>
          <w:rFonts w:ascii="Times New Roman" w:hAnsi="Times New Roman"/>
          <w:b w:val="false"/>
          <w:i w:val="false"/>
          <w:color w:val="000000"/>
          <w:sz w:val="21"/>
        </w:rPr>
        <w:t xml:space="preserve"> (Notice ARC 2456C, IAB 3/16/16)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8087C</w:t>
      </w:r>
      <w:r>
        <w:rPr>
          <w:rFonts w:ascii="Times New Roman" w:hAnsi="Times New Roman"/>
          <w:b w:val="false"/>
          <w:i w:val="false"/>
          <w:color w:val="000000"/>
          <w:sz w:val="21"/>
        </w:rPr>
        <w:t xml:space="preserve"> (Notice ARC 7513C,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1.1.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ac/rule/193.7.10.pdf" Type="http://schemas.openxmlformats.org/officeDocument/2006/relationships/hyperlink" Id="rId8"/>
    <Relationship TargetMode="External" Target="https://www.legis.iowa.gov/docs/ico/chapter/54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