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ALLOCATION OF DISCIPLINARY FEES AND COSTS</w:t>
      </w:r>
    </w:p>
    <w:p>
      <w:pPr>
        <w:spacing w:before="0" w:after="0"/>
        <w:ind w:left="120"/>
        <w:jc w:val="both"/>
      </w:pPr>
      <w:r>
        <w:rPr>
          <w:rFonts w:ascii="Times New Roman" w:hAnsi="Times New Roman"/>
          <w:b/>
          <w:i w:val="false"/>
          <w:color w:val="000000"/>
          <w:sz w:val="22"/>
        </w:rPr>
        <w:t>193—2.1</w:t>
      </w:r>
      <w:r>
        <w:rPr>
          <w:rFonts w:ascii="Times New Roman" w:hAnsi="Times New Roman"/>
          <w:b/>
          <w:i w:val="false"/>
          <w:color w:val="000000"/>
          <w:sz w:val="22"/>
        </w:rPr>
        <w:t xml:space="preserve">(272C) </w:t>
      </w:r>
      <w:r>
        <w:rPr>
          <w:rFonts w:ascii="Times New Roman" w:hAnsi="Times New Roman"/>
          <w:b/>
          <w:i w:val="false"/>
          <w:color w:val="000000"/>
          <w:sz w:val="22"/>
        </w:rPr>
        <w:t xml:space="preserve">Allocation of disciplinary fees and costs. </w:t>
      </w:r>
    </w:p>
    <w:p>
      <w:pPr>
        <w:spacing w:before="0" w:after="0"/>
        <w:ind w:left="120"/>
        <w:jc w:val="both"/>
      </w:pPr>
      <w:r>
        <w:rPr>
          <w:rFonts w:ascii="Times New Roman" w:hAnsi="Times New Roman"/>
          <w:b/>
          <w:i w:val="false"/>
          <w:color w:val="000000"/>
          <w:sz w:val="22"/>
        </w:rPr>
        <w:t>2.1(1)</w:t>
      </w:r>
      <w:r>
        <w:rPr>
          <w:rFonts w:ascii="Times New Roman" w:hAnsi="Times New Roman"/>
          <w:b w:val="false"/>
          <w:i w:val="false"/>
          <w:color w:val="000000"/>
          <w:sz w:val="22"/>
        </w:rPr>
        <w:t> </w:t>
      </w:r>
      <w:r>
        <w:rPr>
          <w:rFonts w:ascii="Times New Roman" w:hAnsi="Times New Roman"/>
          <w:b w:val="false"/>
          <w:i w:val="false"/>
          <w:color w:val="000000"/>
          <w:sz w:val="22"/>
        </w:rPr>
        <w:t>Definition.</w:t>
      </w:r>
    </w:p>
    <w:p>
      <w:pPr>
        <w:spacing w:before="0" w:after="0"/>
        <w:ind w:left="120"/>
        <w:jc w:val="both"/>
      </w:pPr>
      <w:r>
        <w:rPr>
          <w:rFonts w:ascii="Times New Roman" w:hAnsi="Times New Roman"/>
          <w:b w:val="false"/>
          <w:i/>
          <w:color w:val="000000"/>
          <w:sz w:val="22"/>
        </w:rPr>
        <w:t xml:space="preserve">“Board(s)” </w:t>
      </w:r>
      <w:r>
        <w:rPr>
          <w:rFonts w:ascii="Times New Roman" w:hAnsi="Times New Roman"/>
          <w:b w:val="false"/>
          <w:i w:val="false"/>
          <w:color w:val="000000"/>
          <w:sz w:val="22"/>
        </w:rPr>
        <w:t xml:space="preserve">includes the professional licensing boards as defined in </w:t>
      </w:r>
      <w:hyperlink r:id="rId4">
        <w:r>
          <w:rPr>
            <w:rStyle w:val="Hyperlink"/>
            <w:rFonts w:ascii="Times New Roman" w:hAnsi="Times New Roman"/>
            <w:b w:val="false"/>
            <w:i w:val="false"/>
            <w:color w:val="000000"/>
            <w:sz w:val="22"/>
          </w:rPr>
          <w:t>191—Chapter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2.1(2)</w:t>
      </w:r>
      <w:r>
        <w:rPr>
          <w:rFonts w:ascii="Times New Roman" w:hAnsi="Times New Roman"/>
          <w:b w:val="false"/>
          <w:i w:val="false"/>
          <w:color w:val="000000"/>
          <w:sz w:val="22"/>
        </w:rPr>
        <w:t> </w:t>
      </w:r>
      <w:r>
        <w:rPr>
          <w:rFonts w:ascii="Times New Roman" w:hAnsi="Times New Roman"/>
          <w:b w:val="false"/>
          <w:i w:val="false"/>
          <w:color w:val="000000"/>
          <w:sz w:val="22"/>
        </w:rPr>
        <w:t>All hearing fees and costs assessed by the boards will be paid directly to the department and held in a separate fund administered by the administrator.</w:t>
      </w:r>
    </w:p>
    <w:p>
      <w:pPr>
        <w:spacing w:before="0" w:after="0"/>
        <w:ind w:left="120"/>
        <w:jc w:val="both"/>
      </w:pPr>
      <w:r>
        <w:rPr>
          <w:rFonts w:ascii="Times New Roman" w:hAnsi="Times New Roman"/>
          <w:b/>
          <w:i w:val="false"/>
          <w:color w:val="000000"/>
          <w:sz w:val="22"/>
        </w:rPr>
        <w:t>2.1(3)</w:t>
      </w:r>
      <w:r>
        <w:rPr>
          <w:rFonts w:ascii="Times New Roman" w:hAnsi="Times New Roman"/>
          <w:b w:val="false"/>
          <w:i w:val="false"/>
          <w:color w:val="000000"/>
          <w:sz w:val="22"/>
        </w:rPr>
        <w:t> </w:t>
      </w:r>
      <w:r>
        <w:rPr>
          <w:rFonts w:ascii="Times New Roman" w:hAnsi="Times New Roman"/>
          <w:b w:val="false"/>
          <w:i w:val="false"/>
          <w:color w:val="000000"/>
          <w:sz w:val="22"/>
        </w:rPr>
        <w:t>The administrator will distribute moneys held in this fund during the fiscal year in which those moneys are paid. Distributions from the fund are made upon the request of a board and at the sole discretion of the administrator. A distribution received by a board under this chapter will be used only for expenditures related to disciplinary hearings.</w:t>
      </w:r>
    </w:p>
    <w:p>
      <w:pPr>
        <w:spacing w:before="0" w:after="0"/>
        <w:ind w:left="120"/>
        <w:jc w:val="both"/>
      </w:pPr>
      <w:r>
        <w:rPr>
          <w:rFonts w:ascii="Times New Roman" w:hAnsi="Times New Roman"/>
          <w:b/>
          <w:i w:val="false"/>
          <w:color w:val="000000"/>
          <w:sz w:val="22"/>
        </w:rPr>
        <w:t>2.1(4)</w:t>
      </w:r>
      <w:r>
        <w:rPr>
          <w:rFonts w:ascii="Times New Roman" w:hAnsi="Times New Roman"/>
          <w:b w:val="false"/>
          <w:i w:val="false"/>
          <w:color w:val="000000"/>
          <w:sz w:val="22"/>
        </w:rPr>
        <w:t> </w:t>
      </w:r>
      <w:r>
        <w:rPr>
          <w:rFonts w:ascii="Times New Roman" w:hAnsi="Times New Roman"/>
          <w:b w:val="false"/>
          <w:i w:val="false"/>
          <w:color w:val="000000"/>
          <w:sz w:val="22"/>
        </w:rPr>
        <w:t>The administrator will consider the following factors in exercising discretion as to whether to distribute funds to a requesting board:</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The remaining funds in the board’s allocated appropriation for disciplinary hearings in that fiscal year.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The number of disciplinary hearings the board has scheduled for the remainder of that fiscal year; the nature and seriousness of those hearings; and the public health, safety, and welfare interests implicated by those hearings.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Whether the board has adopted and implemented hearing cost recovery rules.</w:t>
      </w:r>
    </w:p>
    <w:p>
      <w:pPr>
        <w:spacing w:before="0" w:after="0"/>
        <w:ind w:left="120"/>
        <w:jc w:val="both"/>
      </w:pPr>
      <w:r>
        <w:rPr>
          <w:rFonts w:ascii="Times New Roman" w:hAnsi="Times New Roman"/>
          <w:b/>
          <w:i w:val="false"/>
          <w:color w:val="000000"/>
          <w:sz w:val="22"/>
        </w:rPr>
        <w:t>2.1(5)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will distribute a percentage of the remaining fees and costs to each board. </w:t>
      </w:r>
    </w:p>
    <w:p>
      <w:pPr>
        <w:spacing w:before="0" w:after="0"/>
        <w:ind w:left="120"/>
        <w:jc w:val="both"/>
      </w:pPr>
      <w:r>
        <w:rPr>
          <w:rFonts w:ascii="Times New Roman" w:hAnsi="Times New Roman"/>
          <w:b/>
          <w:i w:val="false"/>
          <w:color w:val="000000"/>
          <w:sz w:val="22"/>
        </w:rPr>
        <w:t>2.1(6)</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fees and costs allocated back to the individual professional licensing boards will be considered repayment receipts as defined in Iowa Code section </w:t>
      </w:r>
      <w:hyperlink r:id="rId5">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 The fees and costs allocated back to each professional board will be applied to the costs incurred by each profession for prosecution of contested cases that could result in disciplinary action.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272C.6(6)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8086C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4/7/95, Notice 3/1/95—published 4/26/95, effective 5/31/95]</w:t>
      </w:r>
    </w:p>
    <w:p>
      <w:pPr>
        <w:spacing w:before="0" w:after="0"/>
        <w:ind w:left="120"/>
        <w:jc w:val="center"/>
      </w:pPr>
      <w:r>
        <w:rPr>
          <w:rFonts w:ascii="Times New Roman" w:hAnsi="Times New Roman"/>
          <w:b w:val="false"/>
          <w:i w:val="false"/>
          <w:color w:val="000000"/>
          <w:sz w:val="21"/>
        </w:rPr>
        <w:t>[Filed 1/16/07, Notice 11/8/06—published 2/14/07, effective 3/21/07]</w:t>
      </w:r>
    </w:p>
    <w:p>
      <w:pPr>
        <w:spacing w:before="0" w:after="0"/>
        <w:ind w:left="120"/>
        <w:jc w:val="center"/>
      </w:pPr>
      <w:r>
        <w:rPr>
          <w:rFonts w:ascii="Times New Roman" w:hAnsi="Times New Roman"/>
          <w:b w:val="false"/>
          <w:i w:val="false"/>
          <w:color w:val="000000"/>
          <w:sz w:val="21"/>
        </w:rPr>
        <w:t>[Filed ARC 8086C</w:t>
      </w:r>
      <w:r>
        <w:rPr>
          <w:rFonts w:ascii="Times New Roman" w:hAnsi="Times New Roman"/>
          <w:b w:val="false"/>
          <w:i w:val="false"/>
          <w:color w:val="000000"/>
          <w:sz w:val="21"/>
        </w:rPr>
        <w:t xml:space="preserve"> (Notice ARC 7512C, IAB 1/24/24)</w:t>
      </w:r>
      <w:r>
        <w:rPr>
          <w:rFonts w:ascii="Times New Roman" w:hAnsi="Times New Roman"/>
          <w:b w:val="false"/>
          <w:i w:val="false"/>
          <w:color w:val="000000"/>
          <w:sz w:val="21"/>
        </w:rPr>
        <w:t>, IAB 7/10/24, effective 8/14/24]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191.1.pdf" Type="http://schemas.openxmlformats.org/officeDocument/2006/relationships/hyperlink" Id="rId4"/>
    <Relationship TargetMode="External" Target="https://www.legis.iowa.gov/docs/ico/chapter/8.pdf" Type="http://schemas.openxmlformats.org/officeDocument/2006/relationships/hyperlink" Id="rId5"/>
    <Relationship TargetMode="External" Target="https://www.legis.iowa.gov/docs/ico/chapter/272C.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