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 xml:space="preserve">USE OF CRIMINAL CONVICTIONS IN ELIGIBILITY DETERMINATIONS </w:t>
      </w:r>
      <w:r>
        <w:br/>
      </w:r>
      <w:r>
        <w:rPr>
          <w:rFonts w:ascii="Times New Roman" w:hAnsi="Times New Roman"/>
          <w:b w:val="false"/>
          <w:i w:val="false"/>
          <w:color w:val="000000"/>
          <w:sz w:val="21"/>
        </w:rPr>
        <w:t>AND INITIAL LICENSING DECISIONS</w:t>
      </w:r>
    </w:p>
    <w:p>
      <w:pPr>
        <w:spacing w:before="0" w:after="0"/>
        <w:ind w:left="120"/>
        <w:jc w:val="both"/>
      </w:pPr>
      <w:r>
        <w:rPr>
          <w:rFonts w:ascii="Times New Roman" w:hAnsi="Times New Roman"/>
          <w:b/>
          <w:i w:val="false"/>
          <w:color w:val="000000"/>
          <w:sz w:val="22"/>
        </w:rPr>
        <w:t>193—15.1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w:t>
      </w:r>
    </w:p>
    <w:p>
      <w:pPr>
        <w:spacing w:before="0" w:after="0"/>
        <w:ind w:left="120"/>
        <w:jc w:val="both"/>
      </w:pP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or registration issued by a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4">
        <w:r>
          <w:rPr>
            <w:rStyle w:val="Hyperlink"/>
            <w:rFonts w:ascii="Times New Roman" w:hAnsi="Times New Roman"/>
            <w:b w:val="false"/>
            <w:i w:val="false"/>
            <w:color w:val="000000"/>
            <w:sz w:val="22"/>
          </w:rPr>
          <w:t>193—15.3</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An applicant will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will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val="false"/>
          <w:color w:val="000000"/>
          <w:sz w:val="22"/>
        </w:rPr>
        <w:t>An applicant will submit as a part of the license application all evidence of rehabilitation that the applicant wishes to be considered by the board.</w:t>
      </w:r>
    </w:p>
    <w:p>
      <w:pPr>
        <w:spacing w:before="0" w:after="0"/>
        <w:ind w:left="120"/>
        <w:jc w:val="both"/>
      </w:pP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will need to still satisfy all other requirements for licensure.</w:t>
      </w:r>
    </w:p>
    <w:p>
      <w:pPr>
        <w:spacing w:before="0" w:after="0"/>
        <w:ind w:left="120"/>
        <w:jc w:val="both"/>
      </w:pP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193—15.3</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w:t>
      </w:r>
    </w:p>
    <w:p>
      <w:pPr>
        <w:spacing w:before="0" w:after="0"/>
        <w:ind w:left="120"/>
        <w:jc w:val="both"/>
      </w:pP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will submit all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A completed petition for eligibility determination form;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The complete criminal record for each of the petitioner’s convictions;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 personal statement regarding whether each conviction directly relates to the duties and responsibilities of the profession and why the board should find the petitioner rehabilitated;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All evidence of rehabilitation that the petitioner wishes to be considered by the board; and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Payment of 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is a proposed decision.</w:t>
      </w:r>
    </w:p>
    <w:p>
      <w:pPr>
        <w:spacing w:before="0" w:after="0"/>
        <w:ind w:left="120"/>
        <w:jc w:val="both"/>
      </w:pP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is closed to the public and the board’s review of a proposed decision occurs in closed session.</w:t>
      </w:r>
    </w:p>
    <w:p>
      <w:pPr>
        <w:spacing w:before="0" w:after="0"/>
        <w:ind w:left="120"/>
        <w:jc w:val="both"/>
      </w:pP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will represent the board’s initial ineligibility determination or license denial and will have the burden of proof to establish that the petitioner or applicant’s convictions include at least one disqualifying offense. Upon satisfaction of this burden by a preponderance of the evidence by the office of the attorney general, the burden of proof will shift to the petitioner or applicant to establish rehabilitation by clear and convincing evidence.</w:t>
      </w:r>
    </w:p>
    <w:p>
      <w:pPr>
        <w:spacing w:before="0" w:after="0"/>
        <w:ind w:left="120"/>
        <w:jc w:val="both"/>
      </w:pP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will need to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will be in accordance with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193—15.5</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8099C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5573C</w:t>
      </w:r>
      <w:r>
        <w:rPr>
          <w:rFonts w:ascii="Times New Roman" w:hAnsi="Times New Roman"/>
          <w:b w:val="false"/>
          <w:i w:val="false"/>
          <w:color w:val="000000"/>
          <w:sz w:val="21"/>
        </w:rPr>
        <w:t xml:space="preserve"> (Notice ARC 5400C, IAB 1/27/21)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8099C</w:t>
      </w:r>
      <w:r>
        <w:rPr>
          <w:rFonts w:ascii="Times New Roman" w:hAnsi="Times New Roman"/>
          <w:b w:val="false"/>
          <w:i w:val="false"/>
          <w:color w:val="000000"/>
          <w:sz w:val="21"/>
        </w:rPr>
        <w:t xml:space="preserve"> (Notice ARC 7525C,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15.3.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