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14</w:t>
      </w:r>
    </w:p>
    <w:p>
      <w:pPr>
        <w:spacing w:before="0" w:after="0"/>
        <w:ind w:left="120"/>
        <w:jc w:val="center"/>
      </w:pPr>
      <w:r>
        <w:rPr>
          <w:rFonts w:ascii="Times New Roman" w:hAnsi="Times New Roman"/>
          <w:b w:val="false"/>
          <w:i w:val="false"/>
          <w:color w:val="000000"/>
          <w:sz w:val="21"/>
        </w:rPr>
        <w:t>LICENSURE BY VERIFICATION OR WORK EXPERIENCE</w:t>
      </w:r>
    </w:p>
    <w:p>
      <w:pPr>
        <w:spacing w:before="0" w:after="0"/>
        <w:ind w:left="120"/>
        <w:jc w:val="both"/>
      </w:pPr>
      <w:r>
        <w:rPr>
          <w:rFonts w:ascii="Times New Roman" w:hAnsi="Times New Roman"/>
          <w:b/>
          <w:i w:val="false"/>
          <w:color w:val="000000"/>
          <w:sz w:val="22"/>
        </w:rPr>
        <w:t>193—14.1</w:t>
      </w:r>
      <w:r>
        <w:rPr>
          <w:rFonts w:ascii="Times New Roman" w:hAnsi="Times New Roman"/>
          <w:b/>
          <w:i w:val="false"/>
          <w:color w:val="000000"/>
          <w:sz w:val="22"/>
        </w:rPr>
        <w:t xml:space="preserve">(272C)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an examining board or commission as defined in </w:t>
      </w:r>
      <w:hyperlink r:id="rId4">
        <w:r>
          <w:rPr>
            <w:rStyle w:val="Hyperlink"/>
            <w:rFonts w:ascii="Times New Roman" w:hAnsi="Times New Roman"/>
            <w:b w:val="false"/>
            <w:i w:val="false"/>
            <w:color w:val="000000"/>
            <w:sz w:val="22"/>
          </w:rPr>
          <w:t>193—Chapter 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“Issuing jurisdiction” </w:t>
      </w:r>
      <w:r>
        <w:rPr>
          <w:rFonts w:ascii="Times New Roman" w:hAnsi="Times New Roman"/>
          <w:b w:val="false"/>
          <w:i w:val="false"/>
          <w:color w:val="000000"/>
          <w:sz w:val="22"/>
        </w:rPr>
        <w:t>means any state, commonwealth, or municipality; the District of Columbia; or other insular territory of the United States.</w:t>
      </w:r>
    </w:p>
    <w:p>
      <w:pPr>
        <w:spacing w:before="0" w:after="0"/>
        <w:ind w:left="120"/>
        <w:jc w:val="both"/>
      </w:pPr>
      <w:r>
        <w:rPr>
          <w:rFonts w:ascii="Times New Roman" w:hAnsi="Times New Roman"/>
          <w:b w:val="false"/>
          <w:i/>
          <w:color w:val="000000"/>
          <w:sz w:val="22"/>
        </w:rPr>
        <w:t xml:space="preserve">“License”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“licensure” </w:t>
      </w:r>
      <w:r>
        <w:rPr>
          <w:rFonts w:ascii="Times New Roman" w:hAnsi="Times New Roman"/>
          <w:b w:val="false"/>
          <w:i w:val="false"/>
          <w:color w:val="000000"/>
          <w:sz w:val="22"/>
        </w:rPr>
        <w:t xml:space="preserve">means any license, registration, certificate, or permit that may be granted by an examining board or commission as defined in </w:t>
      </w:r>
      <w:hyperlink r:id="rId5">
        <w:r>
          <w:rPr>
            <w:rStyle w:val="Hyperlink"/>
            <w:rFonts w:ascii="Times New Roman" w:hAnsi="Times New Roman"/>
            <w:b w:val="false"/>
            <w:i w:val="false"/>
            <w:color w:val="000000"/>
            <w:sz w:val="22"/>
          </w:rPr>
          <w:t>193—Chapter 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8098C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193—14.2</w:t>
      </w:r>
      <w:r>
        <w:rPr>
          <w:rFonts w:ascii="Times New Roman" w:hAnsi="Times New Roman"/>
          <w:b/>
          <w:i w:val="false"/>
          <w:color w:val="000000"/>
          <w:sz w:val="22"/>
        </w:rPr>
        <w:t xml:space="preserve">(272C) </w:t>
      </w:r>
      <w:r>
        <w:rPr>
          <w:rFonts w:ascii="Times New Roman" w:hAnsi="Times New Roman"/>
          <w:b/>
          <w:i w:val="false"/>
          <w:color w:val="000000"/>
          <w:sz w:val="22"/>
        </w:rPr>
        <w:t xml:space="preserve">Licensure by verification. </w:t>
      </w:r>
      <w:r>
        <w:rPr>
          <w:rFonts w:ascii="Times New Roman" w:hAnsi="Times New Roman"/>
          <w:b w:val="false"/>
          <w:i w:val="false"/>
          <w:color w:val="000000"/>
          <w:sz w:val="22"/>
        </w:rPr>
        <w:t>Licensure by verification is available in accordance with the following:</w:t>
      </w:r>
    </w:p>
    <w:p>
      <w:pPr>
        <w:spacing w:before="0" w:after="0"/>
        <w:ind w:left="120"/>
        <w:jc w:val="both"/>
      </w:pPr>
      <w:r>
        <w:rPr>
          <w:rFonts w:ascii="Times New Roman" w:hAnsi="Times New Roman"/>
          <w:b/>
          <w:i w:val="false"/>
          <w:color w:val="000000"/>
          <w:sz w:val="22"/>
        </w:rPr>
        <w:t>14.2(1)</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A person may seek licensure by verification if the person is licensed in at least one other jurisdiction that has a scope of practice substantially similar to that of Iowa.</w:t>
      </w:r>
    </w:p>
    <w:p>
      <w:pPr>
        <w:spacing w:before="0" w:after="0"/>
        <w:ind w:left="120"/>
        <w:jc w:val="both"/>
      </w:pPr>
      <w:r>
        <w:rPr>
          <w:rFonts w:ascii="Times New Roman" w:hAnsi="Times New Roman"/>
          <w:b/>
          <w:i w:val="false"/>
          <w:color w:val="000000"/>
          <w:sz w:val="22"/>
        </w:rPr>
        <w:t>14.2(2)</w:t>
      </w:r>
      <w:r>
        <w:rPr>
          <w:rFonts w:ascii="Times New Roman" w:hAnsi="Times New Roman"/>
          <w:b w:val="false"/>
          <w:i w:val="false"/>
          <w:color w:val="000000"/>
          <w:sz w:val="22"/>
        </w:rPr>
        <w:t> </w:t>
      </w:r>
      <w:r>
        <w:rPr>
          <w:rFonts w:ascii="Times New Roman" w:hAnsi="Times New Roman"/>
          <w:b w:val="false"/>
          <w:i/>
          <w:color w:val="000000"/>
          <w:sz w:val="22"/>
        </w:rPr>
        <w:t xml:space="preserve">Board application. </w:t>
      </w:r>
      <w:r>
        <w:rPr>
          <w:rFonts w:ascii="Times New Roman" w:hAnsi="Times New Roman"/>
          <w:b w:val="false"/>
          <w:i w:val="false"/>
          <w:color w:val="000000"/>
          <w:sz w:val="22"/>
        </w:rPr>
        <w:t>The applicant needs to submit the following: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A completed application for licensure by verification.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Payment of the application fee.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Completed fingerprint cards and a signed waiver form to facilitate a national criminal history background check, if required for initial licensure by the board.</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A verification form completed by the licensing authority in the jurisdiction that issued the applicant’s license, verifying that the applicant’s license in that jurisdiction complies with the requirements of Iowa Code section </w:t>
      </w:r>
      <w:hyperlink r:id="rId6">
        <w:r>
          <w:rPr>
            <w:rStyle w:val="Hyperlink"/>
            <w:rFonts w:ascii="Times New Roman" w:hAnsi="Times New Roman"/>
            <w:b w:val="false"/>
            <w:i w:val="false"/>
            <w:color w:val="000000"/>
            <w:sz w:val="22"/>
          </w:rPr>
          <w:t>272C.12</w:t>
        </w:r>
      </w:hyperlink>
      <w:r>
        <w:rPr>
          <w:rFonts w:ascii="Times New Roman" w:hAnsi="Times New Roman"/>
          <w:b w:val="false"/>
          <w:i w:val="false"/>
          <w:color w:val="000000"/>
          <w:sz w:val="22"/>
        </w:rPr>
        <w:t>. The completed verification form needs to be sent directly from the licensing authority to the board.</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A copy of the complete criminal record, if the applicant has a criminal history.</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A copy of relevant disciplinary documents, if another jurisdiction has taken disciplinary action against the applicant.</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Copies of relevant laws setting forth the scope of practice in the other state.</w:t>
      </w:r>
    </w:p>
    <w:p>
      <w:pPr>
        <w:spacing w:before="0" w:after="0"/>
        <w:ind w:left="120"/>
        <w:jc w:val="both"/>
      </w:pPr>
      <w:r>
        <w:rPr>
          <w:rFonts w:ascii="Times New Roman" w:hAnsi="Times New Roman"/>
          <w:b/>
          <w:i w:val="false"/>
          <w:color w:val="000000"/>
          <w:sz w:val="22"/>
        </w:rPr>
        <w:t>14.2(3)</w:t>
      </w:r>
      <w:r>
        <w:rPr>
          <w:rFonts w:ascii="Times New Roman" w:hAnsi="Times New Roman"/>
          <w:b w:val="false"/>
          <w:i w:val="false"/>
          <w:color w:val="000000"/>
          <w:sz w:val="22"/>
        </w:rPr>
        <w:t> </w:t>
      </w:r>
      <w:r>
        <w:rPr>
          <w:rFonts w:ascii="Times New Roman" w:hAnsi="Times New Roman"/>
          <w:b w:val="false"/>
          <w:i/>
          <w:color w:val="000000"/>
          <w:sz w:val="22"/>
        </w:rPr>
        <w:t xml:space="preserve">Applicants with prior discipline. </w:t>
      </w:r>
      <w:r>
        <w:rPr>
          <w:rFonts w:ascii="Times New Roman" w:hAnsi="Times New Roman"/>
          <w:b w:val="false"/>
          <w:i w:val="false"/>
          <w:color w:val="000000"/>
          <w:sz w:val="22"/>
        </w:rPr>
        <w:t>If another jurisdiction has taken disciplinary action against an applicant, the board will determine whether the cause for the disciplinary action has been corrected and the matter has been resolved. If the board determines the disciplinary matter has not been resolved, the board will neither issue a license nor deny the application for licensure until the matter is resolved. A person who has had a license revoked, or who has voluntarily surrendered a license, in another jurisdiction is ineligible for licensure by verification.</w:t>
      </w:r>
    </w:p>
    <w:p>
      <w:pPr>
        <w:spacing w:before="0" w:after="0"/>
        <w:ind w:left="120"/>
        <w:jc w:val="both"/>
      </w:pPr>
      <w:r>
        <w:rPr>
          <w:rFonts w:ascii="Times New Roman" w:hAnsi="Times New Roman"/>
          <w:b/>
          <w:i w:val="false"/>
          <w:color w:val="000000"/>
          <w:sz w:val="22"/>
        </w:rPr>
        <w:t>14.2(4)</w:t>
      </w:r>
      <w:r>
        <w:rPr>
          <w:rFonts w:ascii="Times New Roman" w:hAnsi="Times New Roman"/>
          <w:b w:val="false"/>
          <w:i w:val="false"/>
          <w:color w:val="000000"/>
          <w:sz w:val="22"/>
        </w:rPr>
        <w:t> </w:t>
      </w:r>
      <w:r>
        <w:rPr>
          <w:rFonts w:ascii="Times New Roman" w:hAnsi="Times New Roman"/>
          <w:b w:val="false"/>
          <w:i/>
          <w:color w:val="000000"/>
          <w:sz w:val="22"/>
        </w:rPr>
        <w:t xml:space="preserve">Applicants with pending licensing complaints or investigations. </w:t>
      </w:r>
      <w:r>
        <w:rPr>
          <w:rFonts w:ascii="Times New Roman" w:hAnsi="Times New Roman"/>
          <w:b w:val="false"/>
          <w:i w:val="false"/>
          <w:color w:val="000000"/>
          <w:sz w:val="22"/>
        </w:rPr>
        <w:t>If an applicant is currently the subject of a complaint, allegation, or investigation relating to unprofessional conduct pending before any regulating entity in another jurisdiction, the board will neither issue a license nor deny the application for licensure until the complaint, allegation, or investigation is resolved.</w:t>
      </w:r>
    </w:p>
    <w:p>
      <w:pPr>
        <w:spacing w:before="0" w:after="0"/>
        <w:ind w:left="120"/>
        <w:jc w:val="both"/>
      </w:pPr>
      <w:r>
        <w:rPr>
          <w:rFonts w:ascii="Times New Roman" w:hAnsi="Times New Roman"/>
          <w:b/>
          <w:i w:val="false"/>
          <w:color w:val="000000"/>
          <w:sz w:val="22"/>
        </w:rPr>
        <w:t>14.2(5)</w:t>
      </w:r>
      <w:r>
        <w:rPr>
          <w:rFonts w:ascii="Times New Roman" w:hAnsi="Times New Roman"/>
          <w:b w:val="false"/>
          <w:i w:val="false"/>
          <w:color w:val="000000"/>
          <w:sz w:val="22"/>
        </w:rPr>
        <w:t> </w:t>
      </w:r>
      <w:r>
        <w:rPr>
          <w:rFonts w:ascii="Times New Roman" w:hAnsi="Times New Roman"/>
          <w:b w:val="false"/>
          <w:i/>
          <w:color w:val="000000"/>
          <w:sz w:val="22"/>
        </w:rPr>
        <w:t xml:space="preserve">Determination by board. </w:t>
      </w:r>
      <w:r>
        <w:rPr>
          <w:rFonts w:ascii="Times New Roman" w:hAnsi="Times New Roman"/>
          <w:b w:val="false"/>
          <w:i w:val="false"/>
          <w:color w:val="000000"/>
          <w:sz w:val="22"/>
        </w:rPr>
        <w:t>The board will make the determination of whether to issue a license under this rule based on information supplied by the applicant in the application and on such additional information as the board may acquire, including information or verification from other jurisdictions.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8098C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193—14.3</w:t>
      </w:r>
      <w:r>
        <w:rPr>
          <w:rFonts w:ascii="Times New Roman" w:hAnsi="Times New Roman"/>
          <w:b/>
          <w:i w:val="false"/>
          <w:color w:val="000000"/>
          <w:sz w:val="22"/>
        </w:rPr>
        <w:t xml:space="preserve">(272C) </w:t>
      </w:r>
      <w:r>
        <w:rPr>
          <w:rFonts w:ascii="Times New Roman" w:hAnsi="Times New Roman"/>
          <w:b/>
          <w:i w:val="false"/>
          <w:color w:val="000000"/>
          <w:sz w:val="22"/>
        </w:rPr>
        <w:t xml:space="preserve">Applicants with work experience in jurisdictions without licensure requirements. </w:t>
      </w:r>
    </w:p>
    <w:p>
      <w:pPr>
        <w:spacing w:before="0" w:after="0"/>
        <w:ind w:left="120"/>
        <w:jc w:val="both"/>
      </w:pPr>
      <w:r>
        <w:rPr>
          <w:rFonts w:ascii="Times New Roman" w:hAnsi="Times New Roman"/>
          <w:b/>
          <w:i w:val="false"/>
          <w:color w:val="000000"/>
          <w:sz w:val="22"/>
        </w:rPr>
        <w:t>14.3(1)</w:t>
      </w:r>
      <w:r>
        <w:rPr>
          <w:rFonts w:ascii="Times New Roman" w:hAnsi="Times New Roman"/>
          <w:b w:val="false"/>
          <w:i w:val="false"/>
          <w:color w:val="000000"/>
          <w:sz w:val="22"/>
        </w:rPr>
        <w:t> </w:t>
      </w:r>
      <w:r>
        <w:rPr>
          <w:rFonts w:ascii="Times New Roman" w:hAnsi="Times New Roman"/>
          <w:b w:val="false"/>
          <w:i/>
          <w:color w:val="000000"/>
          <w:sz w:val="22"/>
        </w:rPr>
        <w:t xml:space="preserve">Work experience. </w:t>
      </w:r>
      <w:r>
        <w:rPr>
          <w:rFonts w:ascii="Times New Roman" w:hAnsi="Times New Roman"/>
          <w:b w:val="false"/>
          <w:i w:val="false"/>
          <w:color w:val="000000"/>
          <w:sz w:val="22"/>
        </w:rPr>
        <w:t xml:space="preserve">An applicant for initial licensure who has relocated to Iowa from another jurisdiction that did not need a professional license to practice in the profession may be considered to have met any educational and training requirements if the person has at least three years of work experience with a scope of practice substantially similar to that of the profession for which a license in Iowa is sought. The three years of work experience needs to be within the four years preceding the date of application for initial licensure. The applicant will need to satisfy all other requirements, including passing any required examinations, to receive a license. </w:t>
      </w:r>
    </w:p>
    <w:p>
      <w:pPr>
        <w:spacing w:before="0" w:after="0"/>
        <w:ind w:left="120"/>
        <w:jc w:val="both"/>
      </w:pPr>
      <w:r>
        <w:rPr>
          <w:rFonts w:ascii="Times New Roman" w:hAnsi="Times New Roman"/>
          <w:b/>
          <w:i w:val="false"/>
          <w:color w:val="000000"/>
          <w:sz w:val="22"/>
        </w:rPr>
        <w:t>14.3(2)</w:t>
      </w:r>
      <w:r>
        <w:rPr>
          <w:rFonts w:ascii="Times New Roman" w:hAnsi="Times New Roman"/>
          <w:b w:val="false"/>
          <w:i w:val="false"/>
          <w:color w:val="000000"/>
          <w:sz w:val="22"/>
        </w:rPr>
        <w:t> </w:t>
      </w:r>
      <w:r>
        <w:rPr>
          <w:rFonts w:ascii="Times New Roman" w:hAnsi="Times New Roman"/>
          <w:b w:val="false"/>
          <w:i/>
          <w:color w:val="000000"/>
          <w:sz w:val="22"/>
        </w:rPr>
        <w:t xml:space="preserve">Required documentation. </w:t>
      </w:r>
      <w:r>
        <w:rPr>
          <w:rFonts w:ascii="Times New Roman" w:hAnsi="Times New Roman"/>
          <w:b w:val="false"/>
          <w:i w:val="false"/>
          <w:color w:val="000000"/>
          <w:sz w:val="22"/>
        </w:rPr>
        <w:t>An applicant who wishes to substitute work experience in lieu of satisfying applicable education or training requirements carries the burden of providing all of the following by submitting relevant documents as part of a completed license application:</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Proof of Iowa residency, which may include:</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Residential mortgage, lease, or rental agreement;</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Utility bill;</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Bank statement;</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Paycheck or pay stub;</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Property tax statement;</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A document issued by the federal or state government; or</w:t>
      </w:r>
    </w:p>
    <w:p>
      <w:pPr>
        <w:spacing w:before="0" w:after="0"/>
        <w:ind w:left="120"/>
        <w:jc w:val="left"/>
      </w:pPr>
      <w:r>
        <w:rPr>
          <w:rFonts w:ascii="Times New Roman" w:hAnsi="Times New Roman"/>
          <w:b w:val="false"/>
          <w:i w:val="false"/>
          <w:color w:val="000000"/>
          <w:sz w:val="22"/>
        </w:rPr>
        <w:t>(7)</w:t>
      </w:r>
    </w:p>
    <w:p>
      <w:pPr>
        <w:spacing w:before="0" w:after="0"/>
        <w:ind w:left="0"/>
        <w:jc w:val="both"/>
      </w:pPr>
      <w:r>
        <w:rPr>
          <w:rFonts w:ascii="Times New Roman" w:hAnsi="Times New Roman"/>
          <w:b w:val="false"/>
          <w:i w:val="false"/>
          <w:color w:val="000000"/>
          <w:sz w:val="22"/>
        </w:rPr>
        <w:t>Any other board-approved document that reliably confirms Iowa residency.</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Proof of three or more years of work experience within the four years preceding the application for licensure, which may include:</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A letter from the applicant’s prior employer documenting the dates of employment;</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Paychecks or pay stubs;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If self-employed, business documents filed with the secretary of state; or</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Any other board-approved evidence of sufficient work experience. </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Proof that the work experience was in a practice with a scope of practice substantially similar to that for the license sought in Iowa, which includes: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A written statement by the applicant detailing the scope of practice; and</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Business or marketing materials detailing the services provided.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8098C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7">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1734C</w:t>
      </w:r>
      <w:r>
        <w:rPr>
          <w:rFonts w:ascii="Times New Roman" w:hAnsi="Times New Roman"/>
          <w:b w:val="false"/>
          <w:i w:val="false"/>
          <w:color w:val="000000"/>
          <w:sz w:val="21"/>
        </w:rPr>
        <w:t xml:space="preserve"> (Notice ARC 1630C, IAB 9/17/14)</w:t>
      </w:r>
      <w:r>
        <w:rPr>
          <w:rFonts w:ascii="Times New Roman" w:hAnsi="Times New Roman"/>
          <w:b w:val="false"/>
          <w:i w:val="false"/>
          <w:color w:val="000000"/>
          <w:sz w:val="21"/>
        </w:rPr>
        <w:t>, IAB 11/26/14, effective 12/31/14]</w:t>
      </w:r>
    </w:p>
    <w:p>
      <w:pPr>
        <w:spacing w:before="0" w:after="0"/>
        <w:ind w:left="120"/>
        <w:jc w:val="center"/>
      </w:pPr>
      <w:r>
        <w:rPr>
          <w:rFonts w:ascii="Times New Roman" w:hAnsi="Times New Roman"/>
          <w:b w:val="false"/>
          <w:i w:val="false"/>
          <w:color w:val="000000"/>
          <w:sz w:val="21"/>
        </w:rPr>
        <w:t>[Filed ARC 4828C</w:t>
      </w:r>
      <w:r>
        <w:rPr>
          <w:rFonts w:ascii="Times New Roman" w:hAnsi="Times New Roman"/>
          <w:b w:val="false"/>
          <w:i w:val="false"/>
          <w:color w:val="000000"/>
          <w:sz w:val="21"/>
        </w:rPr>
        <w:t xml:space="preserve"> (Notice ARC 4680C, IAB 10/9/19)</w:t>
      </w:r>
      <w:r>
        <w:rPr>
          <w:rFonts w:ascii="Times New Roman" w:hAnsi="Times New Roman"/>
          <w:b w:val="false"/>
          <w:i w:val="false"/>
          <w:color w:val="000000"/>
          <w:sz w:val="21"/>
        </w:rPr>
        <w:t>, IAB 12/18/19, effective 1/22/20]</w:t>
      </w:r>
    </w:p>
    <w:p>
      <w:pPr>
        <w:spacing w:before="0" w:after="0"/>
        <w:ind w:left="120"/>
        <w:jc w:val="center"/>
      </w:pPr>
      <w:r>
        <w:rPr>
          <w:rFonts w:ascii="Times New Roman" w:hAnsi="Times New Roman"/>
          <w:b w:val="false"/>
          <w:i w:val="false"/>
          <w:color w:val="000000"/>
          <w:sz w:val="21"/>
        </w:rPr>
        <w:t>[Filed ARC 5573C</w:t>
      </w:r>
      <w:r>
        <w:rPr>
          <w:rFonts w:ascii="Times New Roman" w:hAnsi="Times New Roman"/>
          <w:b w:val="false"/>
          <w:i w:val="false"/>
          <w:color w:val="000000"/>
          <w:sz w:val="21"/>
        </w:rPr>
        <w:t xml:space="preserve"> (Notice ARC 5400C, IAB 1/27/21)</w:t>
      </w:r>
      <w:r>
        <w:rPr>
          <w:rFonts w:ascii="Times New Roman" w:hAnsi="Times New Roman"/>
          <w:b w:val="false"/>
          <w:i w:val="false"/>
          <w:color w:val="000000"/>
          <w:sz w:val="21"/>
        </w:rPr>
        <w:t>, IAB 4/21/21, effective 5/26/21]</w:t>
      </w:r>
    </w:p>
    <w:p>
      <w:pPr>
        <w:spacing w:before="0" w:after="0"/>
        <w:ind w:left="120"/>
        <w:jc w:val="center"/>
      </w:pPr>
      <w:r>
        <w:rPr>
          <w:rFonts w:ascii="Times New Roman" w:hAnsi="Times New Roman"/>
          <w:b w:val="false"/>
          <w:i w:val="false"/>
          <w:color w:val="000000"/>
          <w:sz w:val="21"/>
        </w:rPr>
        <w:t>[Filed ARC 7016C</w:t>
      </w:r>
      <w:r>
        <w:rPr>
          <w:rFonts w:ascii="Times New Roman" w:hAnsi="Times New Roman"/>
          <w:b w:val="false"/>
          <w:i w:val="false"/>
          <w:color w:val="000000"/>
          <w:sz w:val="21"/>
        </w:rPr>
        <w:t xml:space="preserve"> (Notice ARC 6946C, IAB 3/8/23)</w:t>
      </w:r>
      <w:r>
        <w:rPr>
          <w:rFonts w:ascii="Times New Roman" w:hAnsi="Times New Roman"/>
          <w:b w:val="false"/>
          <w:i w:val="false"/>
          <w:color w:val="000000"/>
          <w:sz w:val="21"/>
        </w:rPr>
        <w:t>, IAB 5/17/23, effective 6/21/23]</w:t>
      </w:r>
    </w:p>
    <w:p>
      <w:pPr>
        <w:spacing w:before="0" w:after="0"/>
        <w:ind w:left="120"/>
        <w:jc w:val="center"/>
      </w:pPr>
      <w:r>
        <w:rPr>
          <w:rFonts w:ascii="Times New Roman" w:hAnsi="Times New Roman"/>
          <w:b w:val="false"/>
          <w:i w:val="false"/>
          <w:color w:val="000000"/>
          <w:sz w:val="21"/>
        </w:rPr>
        <w:t>[Filed ARC 8098C</w:t>
      </w:r>
      <w:r>
        <w:rPr>
          <w:rFonts w:ascii="Times New Roman" w:hAnsi="Times New Roman"/>
          <w:b w:val="false"/>
          <w:i w:val="false"/>
          <w:color w:val="000000"/>
          <w:sz w:val="21"/>
        </w:rPr>
        <w:t xml:space="preserve"> (Notice ARC 7524C, IAB 1/24/24)</w:t>
      </w:r>
      <w:r>
        <w:rPr>
          <w:rFonts w:ascii="Times New Roman" w:hAnsi="Times New Roman"/>
          <w:b w:val="false"/>
          <w:i w:val="false"/>
          <w:color w:val="000000"/>
          <w:sz w:val="21"/>
        </w:rPr>
        <w:t>, IAB 7/10/24, effective 8/14/24]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193.1.pdf" Type="http://schemas.openxmlformats.org/officeDocument/2006/relationships/hyperlink" Id="rId4"/>
    <Relationship TargetMode="External" Target="https://www.legis.iowa.gov/docs/iac/chapter/193.1.pdf" Type="http://schemas.openxmlformats.org/officeDocument/2006/relationships/hyperlink" Id="rId5"/>
    <Relationship TargetMode="External" Target="https://www.legis.iowa.gov/docs/ico/chapter/272C.pdf" Type="http://schemas.openxmlformats.org/officeDocument/2006/relationships/hyperlink" Id="rId6"/>
    <Relationship TargetMode="External" Target="https://www.legis.iowa.gov/docs/ico/chapter/272C.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