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IMPAIRED LICENSEE REVIEW COMMITTEES</w:t>
      </w:r>
    </w:p>
    <w:p>
      <w:pPr>
        <w:spacing w:before="0" w:after="0"/>
        <w:ind w:left="120"/>
        <w:jc w:val="both"/>
      </w:pPr>
      <w:r>
        <w:rPr>
          <w:rFonts w:ascii="Times New Roman" w:hAnsi="Times New Roman"/>
          <w:b/>
          <w:i w:val="false"/>
          <w:color w:val="000000"/>
          <w:sz w:val="22"/>
        </w:rPr>
        <w:t>193—12.1</w:t>
      </w:r>
      <w:r>
        <w:rPr>
          <w:rFonts w:ascii="Times New Roman" w:hAnsi="Times New Roman"/>
          <w:b/>
          <w:i w:val="false"/>
          <w:color w:val="000000"/>
          <w:sz w:val="22"/>
        </w:rPr>
        <w:t xml:space="preserve">(272C) </w:t>
      </w:r>
      <w:r>
        <w:rPr>
          <w:rFonts w:ascii="Times New Roman" w:hAnsi="Times New Roman"/>
          <w:b/>
          <w:i w:val="false"/>
          <w:color w:val="000000"/>
          <w:sz w:val="22"/>
        </w:rPr>
        <w:t xml:space="preserve">Impaired licensee review committee. </w:t>
      </w:r>
      <w:r>
        <w:rPr>
          <w:rFonts w:ascii="Times New Roman" w:hAnsi="Times New Roman"/>
          <w:b w:val="false"/>
          <w:i w:val="false"/>
          <w:color w:val="000000"/>
          <w:sz w:val="22"/>
        </w:rPr>
        <w:t xml:space="preserve">Pursuant to the authority of Iowa Code section </w:t>
      </w:r>
      <w:hyperlink r:id="rId4">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all the professional licensing boards as defined in </w:t>
      </w:r>
      <w:hyperlink r:id="rId5">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 xml:space="preserve"> may establish an impaired licensee review committee.</w:t>
      </w:r>
    </w:p>
    <w:p>
      <w:pPr>
        <w:spacing w:before="0" w:after="0"/>
        <w:ind w:left="120"/>
        <w:jc w:val="both"/>
      </w:pP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wherever such terminology is used in the rules regarding the impaired licensee review committee.</w:t>
      </w:r>
    </w:p>
    <w:p>
      <w:pPr>
        <w:spacing w:before="0" w:after="0"/>
        <w:ind w:left="120"/>
        <w:jc w:val="both"/>
      </w:pPr>
      <w:r>
        <w:rPr>
          <w:rFonts w:ascii="Times New Roman" w:hAnsi="Times New Roman"/>
          <w:b w:val="false"/>
          <w:i/>
          <w:color w:val="000000"/>
          <w:sz w:val="22"/>
        </w:rPr>
        <w:t xml:space="preserve">“Committee” </w:t>
      </w:r>
      <w:r>
        <w:rPr>
          <w:rFonts w:ascii="Times New Roman" w:hAnsi="Times New Roman"/>
          <w:b w:val="false"/>
          <w:i w:val="false"/>
          <w:color w:val="000000"/>
          <w:sz w:val="22"/>
        </w:rPr>
        <w:t>means the impaired licensee review committee.</w:t>
      </w:r>
    </w:p>
    <w:p>
      <w:pPr>
        <w:spacing w:before="0" w:after="0"/>
        <w:ind w:left="120"/>
        <w:jc w:val="both"/>
      </w:pPr>
      <w:r>
        <w:rPr>
          <w:rFonts w:ascii="Times New Roman" w:hAnsi="Times New Roman"/>
          <w:b w:val="false"/>
          <w:i/>
          <w:color w:val="000000"/>
          <w:sz w:val="22"/>
        </w:rPr>
        <w:t xml:space="preserve">“Contract” </w:t>
      </w:r>
      <w:r>
        <w:rPr>
          <w:rFonts w:ascii="Times New Roman" w:hAnsi="Times New Roman"/>
          <w:b w:val="false"/>
          <w:i w:val="false"/>
          <w:color w:val="000000"/>
          <w:sz w:val="22"/>
        </w:rPr>
        <w:t>means the written document establishing the terms for participation in the impaired licensee program prepared by the committee.</w:t>
      </w:r>
    </w:p>
    <w:p>
      <w:pPr>
        <w:spacing w:before="0" w:after="0"/>
        <w:ind w:left="120"/>
        <w:jc w:val="both"/>
      </w:pPr>
      <w:r>
        <w:rPr>
          <w:rFonts w:ascii="Times New Roman" w:hAnsi="Times New Roman"/>
          <w:b w:val="false"/>
          <w:i/>
          <w:color w:val="000000"/>
          <w:sz w:val="22"/>
        </w:rPr>
        <w:t xml:space="preserve">“Impairment” </w:t>
      </w:r>
      <w:r>
        <w:rPr>
          <w:rFonts w:ascii="Times New Roman" w:hAnsi="Times New Roman"/>
          <w:b w:val="false"/>
          <w:i w:val="false"/>
          <w:color w:val="000000"/>
          <w:sz w:val="22"/>
        </w:rPr>
        <w:t>means an inability to practice with reasonable safety and skill as a result of alcohol or drug abuse, dependency, or addiction or any neuropsychological or physical disorder or disability.</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under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“Self-report” </w:t>
      </w:r>
      <w:r>
        <w:rPr>
          <w:rFonts w:ascii="Times New Roman" w:hAnsi="Times New Roman"/>
          <w:b w:val="false"/>
          <w:i w:val="false"/>
          <w:color w:val="000000"/>
          <w:sz w:val="22"/>
        </w:rPr>
        <w:t>means the licensee’s providing written or oral notification to the board that the licensee has been or may be diagnosed as having an impairment prior to the board’s receiving a complaint or report alleging the same from a second party.</w:t>
      </w:r>
    </w:p>
    <w:p>
      <w:pPr>
        <w:spacing w:before="0" w:after="0"/>
        <w:ind w:left="120"/>
        <w:jc w:val="both"/>
      </w:pP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impaired licensee review committee evaluates, assists, monitors, and, as necessary, makes reports to the board on the recovery or rehabilitation of licensees who self-report impairments or who are referred to the committee by the board.</w:t>
      </w:r>
    </w:p>
    <w:p>
      <w:pPr>
        <w:spacing w:before="0" w:after="0"/>
        <w:ind w:left="120"/>
        <w:jc w:val="both"/>
      </w:pP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Composition of the committee. </w:t>
      </w:r>
      <w:r>
        <w:rPr>
          <w:rFonts w:ascii="Times New Roman" w:hAnsi="Times New Roman"/>
          <w:b w:val="false"/>
          <w:i w:val="false"/>
          <w:color w:val="000000"/>
          <w:sz w:val="22"/>
        </w:rPr>
        <w:t>The chairperson of each board will appoint the members of the committee for that board. The membership of the committee includes, but is not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One licensee, registered under the applicable Iowa Code chapter regulated by the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One public member of the board;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One or more licensed professionals with expertise in substance abuse/addiction treatment programs or other applicable impairment.</w:t>
      </w:r>
    </w:p>
    <w:p>
      <w:pPr>
        <w:spacing w:before="0" w:after="0"/>
        <w:ind w:left="120"/>
        <w:jc w:val="both"/>
      </w:pPr>
      <w:r>
        <w:rPr>
          <w:rFonts w:ascii="Times New Roman" w:hAnsi="Times New Roman"/>
          <w:b w:val="false"/>
          <w:i w:val="false"/>
          <w:color w:val="000000"/>
          <w:sz w:val="22"/>
        </w:rPr>
        <w:t>The board may, alternatively, contract with an established impaired licensee review committee of another board, inside or outside the department of inspections, appeals, and licensing, if deemed in the best interest of the licensee or the public.</w:t>
      </w:r>
    </w:p>
    <w:p>
      <w:pPr>
        <w:spacing w:before="0" w:after="0"/>
        <w:ind w:left="120"/>
        <w:jc w:val="both"/>
      </w:pP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participation in the impaired licensee recovery program, a licensee will need to meet all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licensee needs to self-report an impairment or suspected impairment directly to the office of the board or be referred to the committee by the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licensee has not engaged in the unlawful diversion or distribution of controlled substances, or illegal substances;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At the time of the self-report, the licensee has not been under board order for an impairment or any other violation of the laws and rules governing the practice of the profession, although the existence of such an order cannot prevent the board from making a referral when deemed in the best interest of the licensee and the public;</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licensee has not caused harm or injury to a client;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licensee has not been subject to a civil or criminal sanction, or ordered to make reparations or remuneration by a government or regulatory authority of the United States, this or any other state or territory or foreign nation for actions that the committee determines to be serious infractions of the laws, administrative rules, or professional ethics related to the practice of the profession;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licensee has provided truthful information and fully cooperated with the board or committee.</w:t>
      </w:r>
    </w:p>
    <w:p>
      <w:pPr>
        <w:spacing w:before="0" w:after="0"/>
        <w:ind w:left="120"/>
        <w:jc w:val="both"/>
      </w:pP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committee will meet as necessary in order to review licensee compliance, develop consent agreements for new referrals, and determine eligibility for continued monitoring.</w:t>
      </w:r>
    </w:p>
    <w:p>
      <w:pPr>
        <w:spacing w:before="0" w:after="0"/>
        <w:ind w:left="120"/>
        <w:jc w:val="both"/>
      </w:pP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color w:val="000000"/>
          <w:sz w:val="22"/>
        </w:rPr>
        <w:t xml:space="preserve">Terms of participation. </w:t>
      </w:r>
      <w:r>
        <w:rPr>
          <w:rFonts w:ascii="Times New Roman" w:hAnsi="Times New Roman"/>
          <w:b w:val="false"/>
          <w:i w:val="false"/>
          <w:color w:val="000000"/>
          <w:sz w:val="22"/>
        </w:rPr>
        <w:t>A licensee will agree to comply with the terms for participation in the impaired licensee program established in a contract. Conditions placed upon the licensee and the duration of the monitoring period will be established by the committee and communicated to the licensee in writing.</w:t>
      </w:r>
    </w:p>
    <w:p>
      <w:pPr>
        <w:spacing w:before="0" w:after="0"/>
        <w:ind w:left="120"/>
        <w:jc w:val="both"/>
      </w:pP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Failure to comply with the provisions of the agreement obligates the committee to make immediate referral of the matter to the board for the purpose of disciplinary action.</w:t>
      </w:r>
    </w:p>
    <w:p>
      <w:pPr>
        <w:spacing w:before="0" w:after="0"/>
        <w:ind w:left="120"/>
        <w:jc w:val="both"/>
      </w:pPr>
      <w:r>
        <w:rPr>
          <w:rFonts w:ascii="Times New Roman" w:hAnsi="Times New Roman"/>
          <w:b/>
          <w:i w:val="false"/>
          <w:color w:val="000000"/>
          <w:sz w:val="22"/>
        </w:rPr>
        <w:t>12.1(8)</w:t>
      </w:r>
      <w:r>
        <w:rPr>
          <w:rFonts w:ascii="Times New Roman" w:hAnsi="Times New Roman"/>
          <w:b w:val="false"/>
          <w:i w:val="false"/>
          <w:color w:val="000000"/>
          <w:sz w:val="22"/>
        </w:rPr>
        <w:t> </w:t>
      </w:r>
      <w:r>
        <w:rPr>
          <w:rFonts w:ascii="Times New Roman" w:hAnsi="Times New Roman"/>
          <w:b w:val="false"/>
          <w:i/>
          <w:color w:val="000000"/>
          <w:sz w:val="22"/>
        </w:rPr>
        <w:t xml:space="preserve">Practice restrictions. </w:t>
      </w:r>
      <w:r>
        <w:rPr>
          <w:rFonts w:ascii="Times New Roman" w:hAnsi="Times New Roman"/>
          <w:b w:val="false"/>
          <w:i w:val="false"/>
          <w:color w:val="000000"/>
          <w:sz w:val="22"/>
        </w:rPr>
        <w:t>The committee may impose restrictions on the licensee’s practice as a term of the contract until such time as the committee receives a report from an approved evaluator that the licensee is capable of practicing with reasonable safety and skill. As a condition of participating in the program, a licensee is obligated to agree to restricted practice in accordance with the terms specified in the contract. In the event that the licensee refuses to agree to or comply with the restrictions established in the contract, the committee will refer the licensee to the board for appropriate action.</w:t>
      </w:r>
    </w:p>
    <w:p>
      <w:pPr>
        <w:spacing w:before="0" w:after="0"/>
        <w:ind w:left="120"/>
        <w:jc w:val="both"/>
      </w:pPr>
      <w:r>
        <w:rPr>
          <w:rFonts w:ascii="Times New Roman" w:hAnsi="Times New Roman"/>
          <w:b/>
          <w:i w:val="false"/>
          <w:color w:val="000000"/>
          <w:sz w:val="22"/>
        </w:rPr>
        <w:t>12.1(9)</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committee establishes the terms and monitors a participant’s compliance with the program specified in the contract. The committee is not responsible for participants who fail to comply with the terms of or successfully complete the impaired licensee program. Participation in the program under the auspices of the committee does not relieve the board of any duties and does not divest the board of any authority or jurisdiction otherwise provided. Any violation of the statutes or rules governing the practice of the licensee’s profession by a participant will be referred to the board for appropriate action. A violation of a contract is a ground for licensee discipline.</w:t>
      </w:r>
    </w:p>
    <w:p>
      <w:pPr>
        <w:spacing w:before="0" w:after="0"/>
        <w:ind w:left="120"/>
        <w:jc w:val="both"/>
      </w:pPr>
      <w:r>
        <w:rPr>
          <w:rFonts w:ascii="Times New Roman" w:hAnsi="Times New Roman"/>
          <w:b/>
          <w:i w:val="false"/>
          <w:color w:val="000000"/>
          <w:sz w:val="22"/>
        </w:rPr>
        <w:t>12.1(10)</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The committee is subject to the provisions governing confidentiality established in Iowa Code section </w:t>
      </w:r>
      <w:hyperlink r:id="rId13">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Accordingly, information in the possession of the board or the committee about licensees in the program cannot be disclosed to the public. Participation in the impaired licensee program under the auspices of the committee is not a matter of public record.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8096C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8096C</w:t>
      </w:r>
      <w:r>
        <w:rPr>
          <w:rFonts w:ascii="Times New Roman" w:hAnsi="Times New Roman"/>
          <w:b w:val="false"/>
          <w:i w:val="false"/>
          <w:color w:val="000000"/>
          <w:sz w:val="21"/>
        </w:rPr>
        <w:t xml:space="preserve"> (Notice ARC 7522C,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ac/chapter/191.1.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B.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co/chapter/543D.pdf" Type="http://schemas.openxmlformats.org/officeDocument/2006/relationships/hyperlink" Id="rId9"/>
    <Relationship TargetMode="External" Target="https://www.legis.iowa.gov/docs/ico/chapter/544A.pdf" Type="http://schemas.openxmlformats.org/officeDocument/2006/relationships/hyperlink" Id="rId10"/>
    <Relationship TargetMode="External" Target="https://www.legis.iowa.gov/docs/ico/chapter/544B.pdf" Type="http://schemas.openxmlformats.org/officeDocument/2006/relationships/hyperlink" Id="rId11"/>
    <Relationship TargetMode="External" Target="https://www.legis.iowa.gov/docs/ico/chapter/544C.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272C.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