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LOCAL EMERGENCY MANAGEMENT</w:t>
      </w:r>
    </w:p>
    <w:p>
      <w:pPr>
        <w:spacing w:before="0" w:after="0"/>
        <w:ind w:left="120"/>
        <w:jc w:val="center"/>
      </w:pPr>
      <w:r>
        <w:rPr>
          <w:rFonts w:ascii="Times New Roman" w:hAnsi="Times New Roman"/>
          <w:b w:val="false"/>
          <w:i w:val="false"/>
          <w:color w:val="000000"/>
          <w:sz w:val="14"/>
        </w:rPr>
        <w:t>[Prior to 4/18/90, Public Defense Department[650], Ch 7]</w:t>
      </w:r>
    </w:p>
    <w:p>
      <w:pPr>
        <w:spacing w:before="0" w:after="0"/>
        <w:ind w:left="120"/>
        <w:jc w:val="center"/>
      </w:pPr>
      <w:r>
        <w:rPr>
          <w:rFonts w:ascii="Times New Roman" w:hAnsi="Times New Roman"/>
          <w:b w:val="false"/>
          <w:i w:val="false"/>
          <w:color w:val="000000"/>
          <w:sz w:val="14"/>
        </w:rPr>
        <w:t>[Prior to 5/12/93, Disaster Services Division[607],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605—7.1</w:t>
      </w:r>
      <w:r>
        <w:rPr>
          <w:rFonts w:ascii="Times New Roman" w:hAnsi="Times New Roman"/>
          <w:b/>
          <w:i w:val="false"/>
          <w:color w:val="000000"/>
          <w:sz w:val="22"/>
        </w:rPr>
        <w:t xml:space="preserve">(29C)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These rules apply to each local emergency management commission as provided for in Iowa Code section </w:t>
      </w:r>
      <w:hyperlink r:id="rId5">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These rules are intended to establish standards for emergency management and to provide local emergency management commissions with the criteria to assess and measure their capability to mitigate against, prepare for, respond to, and recover from emergencies or disasters.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emergency management agency”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605—7.3</w:t>
      </w:r>
      <w:r>
        <w:rPr>
          <w:rFonts w:ascii="Times New Roman" w:hAnsi="Times New Roman"/>
          <w:b/>
          <w:i w:val="false"/>
          <w:color w:val="000000"/>
          <w:sz w:val="22"/>
        </w:rPr>
        <w:t xml:space="preserve">(29C) </w:t>
      </w:r>
      <w:r>
        <w:rPr>
          <w:rFonts w:ascii="Times New Roman" w:hAnsi="Times New Roman"/>
          <w:b/>
          <w:i w:val="false"/>
          <w:color w:val="000000"/>
          <w:sz w:val="22"/>
        </w:rPr>
        <w:t xml:space="preserve">Local emergency management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emergency management commissions shall be consistent with Iowa Code section </w:t>
      </w:r>
      <w:hyperlink r:id="rId8">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Local commission bylaws. The commission shall develop bylaws to specify,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list of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for the commencement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commission’s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commission’s powers and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manner for financing the commission and its activities and maintaining a budget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manner for acquiring, holding and disposing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manner for electing or appointing officers and the terms of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manner by which members may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manner for appointing, hiring, disciplining and terminating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rules for conducting meetings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necessary and proper rules or procedures.</w:t>
      </w:r>
    </w:p>
    <w:p>
      <w:pPr>
        <w:spacing w:before="0" w:after="0"/>
        <w:ind w:left="120"/>
        <w:jc w:val="both"/>
      </w:pPr>
      <w:r>
        <w:rPr>
          <w:rFonts w:ascii="Times New Roman" w:hAnsi="Times New Roman"/>
          <w:b w:val="false"/>
          <w:i w:val="false"/>
          <w:color w:val="000000"/>
          <w:sz w:val="22"/>
        </w:rPr>
        <w:t>The bylaws, as adopted, shall be signed by each member of the commission. The commission shall record the signed bylaws with the county recorder and will forward a copy of the bylaws to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 xml:space="preserve">Commission business. Commission business shall be conducted in compliance with Iowa Code chapters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The commission is tasked with the following minimum duties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Administration and finance.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a local emergency management agency responsible for the local emergency management program. The primary responsibility of this agency is to develop and maintain a comprehensive emergency management capability in cooperation with other governmental agencies, volunteer organizations, and private sector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the mission of the agency and its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adopt a budget in accordance with the provisions of Iowa Code chapter </w:t>
      </w:r>
      <w:hyperlink r:id="rId11">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and section </w:t>
      </w:r>
      <w:hyperlink r:id="rId12">
        <w:r>
          <w:rPr>
            <w:rStyle w:val="Hyperlink"/>
            <w:rFonts w:ascii="Times New Roman" w:hAnsi="Times New Roman"/>
            <w:b w:val="false"/>
            <w:i w:val="false"/>
            <w:color w:val="000000"/>
            <w:sz w:val="22"/>
          </w:rPr>
          <w:t>29C.17</w:t>
        </w:r>
      </w:hyperlink>
      <w:r>
        <w:rPr>
          <w:rFonts w:ascii="Times New Roman" w:hAnsi="Times New Roman"/>
          <w:b w:val="false"/>
          <w:i w:val="false"/>
          <w:color w:val="000000"/>
          <w:sz w:val="22"/>
        </w:rPr>
        <w:t xml:space="preserve"> in support of the commission and its programs. The commission shall be the fiscal authority, and the chairperson or vice chairperson shall be the certifying official for the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 an emergency management coordinator who meets the qualifications established in subrule </w:t>
      </w:r>
      <w:hyperlink r:id="rId13">
        <w:r>
          <w:rPr>
            <w:rStyle w:val="Hyperlink"/>
            <w:rFonts w:ascii="Times New Roman" w:hAnsi="Times New Roman"/>
            <w:b w:val="false"/>
            <w:i w:val="false"/>
            <w:color w:val="000000"/>
            <w:sz w:val="22"/>
          </w:rPr>
          <w:t>7.4(3)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Develop and adopt policies defining the rights and liabilities of commission employees, emergency workers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direction for the delivery of the emergency management services of planning, administration, coordination, training, exercising, and support for local governments and their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Coordinate emergency management activities and services among county and city governments and the private sector agencies under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Hazard identification, risk assessment, and capability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should continually identify credible hazards that may affect its jurisdiction, the likelihood of occurrence, and the vulnerability of the jurisdiction to such hazards. Hazards to be considered should include natural, technological, and human-caused.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conduct an analysis to determine the consequences and impact of identified hazards on the health and safety of the public, the health and safety of responders, property and infrastructure, critical and essential facilities, public services, the environment, the economy of the jurisdiction, and government operations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hazard analysis should include identification of vital personnel, systems, operations, equipment, and facilities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identify mitigation and preparedness considerations based upon the hazard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comprehensive assessment of the emergency management program elements should be conducted periodically to determine the operational capability and readiness of the jurisdiction to address the identified hazards and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 management. </w:t>
      </w:r>
      <w:r>
        <w:rPr>
          <w:rFonts w:ascii="Times New Roman" w:hAnsi="Times New Roman"/>
          <w:b w:val="false"/>
          <w:i w:val="false"/>
          <w:color w:val="000000"/>
          <w:sz w:val="22"/>
        </w:rPr>
        <w:t>The commission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 method to effectively identify, acquire, distribute, account for, and utilize resources essential to emergency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Utilize, to the maximum extent practicable, the services, equipment, supplies and facilities of the political subdivisions that are members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resource shortfalls and develop the steps and procedures necessary to overcome such shortfalls.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mutual aid assistance in accordance with Iowa Code sections </w:t>
      </w:r>
      <w:hyperlink r:id="rId14">
        <w:r>
          <w:rPr>
            <w:rStyle w:val="Hyperlink"/>
            <w:rFonts w:ascii="Times New Roman" w:hAnsi="Times New Roman"/>
            <w:b w:val="false"/>
            <w:i w:val="false"/>
            <w:color w:val="000000"/>
            <w:sz w:val="22"/>
          </w:rPr>
          <w:t>29C.11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29C.22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develop a comprehensive emergency plan that is capabilities-based, multihazard and multifunctional in nature. The plan will conform to the Comprehensive Preparedness Guide 101 as established by the Federal Emergency Management Agency published 2021 with any modifications as determined and communicated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Plans shall contain the following common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functional roles and responsibilities of internal and external agencies, organizations, departments, and individuals during mitigation, preparedness, response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Establishment and identification of lines of authority for those agencies, organizations, departments, and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Plans shall be regularly reviewed and amended as appropriate in accordance with a five-year schedule established by the commission, which shall include, at a minimum, a complete review, and amendment as appropriate, at a minimum of every five years. However, a review, and amendment as appropriate, of the hazardous materials portion and of a minimum of 20 percent of the remaining annexes or portions of the plan shall be conducted on a yearly basis. The complete operations plan will be reviewed entirely, and amended as appropriate, every five years. A copy of the portions of the plan that are reviewed, regardless of amendment, must be certified and submitted annually as determined by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be certified, the plan must be adopted annually by the members of the commission and attested to by the chairperson and the local emergency management coordinator on a signature document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operations plan shall include provisions for damage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Hazardous materials plans will comply with the minimum requirements of federal law, </w:t>
      </w:r>
      <w:r>
        <w:rPr>
          <w:rFonts w:ascii="Times New Roman" w:hAnsi="Times New Roman"/>
          <w:b w:val="false"/>
          <w:i w:val="false"/>
          <w:color w:val="000000"/>
          <w:sz w:val="22"/>
        </w:rPr>
        <w:t>42 U.S.C. §11003</w:t>
      </w:r>
      <w:r>
        <w:rPr>
          <w:rFonts w:ascii="Times New Roman" w:hAnsi="Times New Roman"/>
          <w:b w:val="false"/>
          <w:i w:val="false"/>
          <w:color w:val="000000"/>
          <w:sz w:val="22"/>
        </w:rPr>
        <w:t xml:space="preserve"> as of January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Counties designated as risk or host counties for a nuclear facility emergency planning zone shall meet the standards and requirements as published by the United States Nuclear Regulatory Commission and the Federal Emergency Management Agency in NUREG-0654, FEMA-REP-1, Rev. 2, December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Commissions participating in or conducting exercises or experiencing real disaster incidents that require after-action and corrective action reports have 180 days from the date of the publication of the corrective action report to incorporate the corrective actions, as appropriate, into the commission’s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Within 60 calendar days from the receipt of the plan, the department will review plans or portions of plans submitted by a commission for approval. The department will notify the local emergency management agency in writing of the approval or nonapproval of the plan.  If the plan is not approved, the department shall state the specific standard or standards that are not being met and offer guidance on how the plan may be brought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sections </w:t>
      </w:r>
      <w:hyperlink r:id="rId1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29C.7</w:t>
        </w:r>
      </w:hyperlink>
      <w:r>
        <w:rPr>
          <w:rFonts w:ascii="Times New Roman" w:hAnsi="Times New Roman"/>
          <w:b w:val="false"/>
          <w:i w:val="false"/>
          <w:color w:val="000000"/>
          <w:sz w:val="22"/>
        </w:rPr>
        <w:t xml:space="preserve">, state participation in funding financial assistance in a presidentially or non-presidentially declared disaster is contingent upon the commission’s having on file a state-approved, comprehensive emergency plan as provided in Iowa Code section </w:t>
      </w:r>
      <w:hyperlink r:id="rId18">
        <w:r>
          <w:rPr>
            <w:rStyle w:val="Hyperlink"/>
            <w:rFonts w:ascii="Times New Roman" w:hAnsi="Times New Roman"/>
            <w:b w:val="false"/>
            <w:i w:val="false"/>
            <w:color w:val="000000"/>
            <w:sz w:val="22"/>
          </w:rPr>
          <w:t>29C.9(8)</w:t>
        </w:r>
      </w:hyperlink>
      <w:r>
        <w:rPr>
          <w:rFonts w:ascii="Times New Roman" w:hAnsi="Times New Roman"/>
          <w:b w:val="false"/>
          <w:i w:val="false"/>
          <w:color w:val="000000"/>
          <w:sz w:val="22"/>
        </w:rPr>
        <w:t xml:space="preserve">. A comprehensive emergency plan will not be considered approved by the department per Iowa Code section </w:t>
      </w:r>
      <w:hyperlink r:id="rId19">
        <w:r>
          <w:rPr>
            <w:rStyle w:val="Hyperlink"/>
            <w:rFonts w:ascii="Times New Roman" w:hAnsi="Times New Roman"/>
            <w:b w:val="false"/>
            <w:i w:val="false"/>
            <w:color w:val="000000"/>
            <w:sz w:val="22"/>
          </w:rPr>
          <w:t>29C.9(8)</w:t>
        </w:r>
      </w:hyperlink>
      <w:r>
        <w:rPr>
          <w:rFonts w:ascii="Times New Roman" w:hAnsi="Times New Roman"/>
          <w:b w:val="false"/>
          <w:i w:val="false"/>
          <w:color w:val="000000"/>
          <w:sz w:val="22"/>
        </w:rPr>
        <w:t xml:space="preserve"> unless such plan adheres to and meets the minimum standards as established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Direction, control and coordination.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execute and enforce the orders or rules made by the governor or under the governor’s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and maintain the capability to effectively direct, control and coordinate emergency and disaster response and recovery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a means of interfacing on-scene management with direction and control personnel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should actively support use of the Incident Command System (ICS) model by all emergency and disaster response agencies within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Damage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develop and maintain a damage assessment capability consistent with local, state and federal requirements and shall designate individuals responsible for the function of damage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identified by the commission to perform the function of damage assessment shall be trained through a course of instruction that may be delivered and developed by the commission and will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Communications and warning.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identify a means of disseminating a warning to the public, key officials, emergency response personnel and those other persons within the jurisdiction who may be potentially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identify the primary and secondary means of communications to support direction, control, and coordination of emergency management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Operations and procedures. </w:t>
      </w:r>
      <w:r>
        <w:rPr>
          <w:rFonts w:ascii="Times New Roman" w:hAnsi="Times New Roman"/>
          <w:b w:val="false"/>
          <w:i w:val="false"/>
          <w:color w:val="000000"/>
          <w:sz w:val="22"/>
        </w:rPr>
        <w:t>The commission should encourage public and private agencies, which have defined responsibilities in the comprehensive emergency plan, to develop standard operating procedures, policies, and directives in support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require the local emergency management coordinator to meet the minimum training requirements as established by the department and identified in subrule </w:t>
      </w:r>
      <w:hyperlink r:id="rId20">
        <w:r>
          <w:rPr>
            <w:rStyle w:val="Hyperlink"/>
            <w:rFonts w:ascii="Times New Roman" w:hAnsi="Times New Roman"/>
            <w:b w:val="false"/>
            <w:i w:val="false"/>
            <w:color w:val="000000"/>
            <w:sz w:val="22"/>
          </w:rPr>
          <w:t>7.4(4)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in conjunction with the local emergency management coordinator, arrange for and actively support ongoing emergency management-related training for local public officials, emergency responders, volunteers, and support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responsible for emergency plan development or implementation should receive training specific to, or related to, hazards identified in the local hazard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should encourage individuals, other than the emergency management coordinator, with emergency management responsibilities as defined in the comprehensive emergency plan, to complete, within two years of appointment, training consistent with their emergency management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commission should encourage all individuals with emergency management responsibilities to maintain current and adequate training consistent with their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Exercises.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ensure that exercise activities are conducted annually in accordance with local,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Exercise activities should follow a progressive five-year plan that is designed to meet the needs of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entities assigned to an exercise should actively participate and support the role of the entity in the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Local entities assigned to an exercise should actively participate in the design, development, implementation, and evaluation of the exercise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Public education and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should designate the individual or individuals who are responsible for public education and information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ensure a public information capability,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Designated public information personnel trained to meet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of receiving and disseminating emergency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method to develop, coordinate, and authorize the release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plan to communicate with access and functional needs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should actively support the development of capabilities to electronically collect, compile, report, receive, and transmit emergency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 xml:space="preserve">Two or more commissions. Two or more commissions may, upon review by the director and with the approval of their respective boards of supervisors, cities, and sheriffs, enter into agreements pursuant to Iowa Code chapter </w:t>
      </w:r>
      <w:hyperlink r:id="rId2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for the joint coordination and administration of emergency management services throughout the multicounty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605—7.4</w:t>
      </w:r>
      <w:r>
        <w:rPr>
          <w:rFonts w:ascii="Times New Roman" w:hAnsi="Times New Roman"/>
          <w:b/>
          <w:i w:val="false"/>
          <w:color w:val="000000"/>
          <w:sz w:val="22"/>
        </w:rPr>
        <w:t xml:space="preserve">(29C) </w:t>
      </w:r>
      <w:r>
        <w:rPr>
          <w:rFonts w:ascii="Times New Roman" w:hAnsi="Times New Roman"/>
          <w:b/>
          <w:i w:val="false"/>
          <w:color w:val="000000"/>
          <w:sz w:val="22"/>
        </w:rPr>
        <w:t xml:space="preserve">Local emergency management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commission shall appoint a local emergency management coordinator who serves at the pleasure of the commission. The commission shall delegate to the emergency management coordinator the authority to fulfill the commission’s and coordinator’s duties as provided in Iowa Code sections </w:t>
      </w:r>
      <w:hyperlink r:id="rId22">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 xml:space="preserve">, as further described in subrule </w:t>
      </w:r>
      <w:hyperlink r:id="rId24">
        <w:r>
          <w:rPr>
            <w:rStyle w:val="Hyperlink"/>
            <w:rFonts w:ascii="Times New Roman" w:hAnsi="Times New Roman"/>
            <w:b w:val="false"/>
            <w:i w:val="false"/>
            <w:color w:val="000000"/>
            <w:sz w:val="22"/>
          </w:rPr>
          <w:t>7.3(4)</w:t>
        </w:r>
      </w:hyperlink>
      <w:r>
        <w:rPr>
          <w:rFonts w:ascii="Times New Roman" w:hAnsi="Times New Roman"/>
          <w:b w:val="false"/>
          <w:i w:val="false"/>
          <w:color w:val="000000"/>
          <w:sz w:val="22"/>
        </w:rPr>
        <w:t>, and as otherwise assigned and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Political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of a commission shall not be appointed as the local emergency management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serving in a full-time or part-time governmental position incompatible with the position of coordinator shall not be appointed as the emergency management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employee of an organization for emergency management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working hours or when performing official duties or when using public equipment or at any time on public property, take part in any way in soliciting any contribution for any political party or any person seeking political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Seek or attempt to use any political endorsement in connection with any appointment to a position created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any official authority or influence for the purpose of interfering with an election or affecting the results of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Local emergency management coordinator qualifications. Each person appointed after July 1, 1990, as a local emergency management coordinator shall meet the following requirements with regard to education, abilities, experience, knowledge and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Demonstrate a knowledge of local, state, and federal laws and regulations pertaining to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communications systems, frequencies, and equipment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a knowledge of basic accounting principles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Express oneself clearly and concisely, both orally and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effective working relationships with employees, public officials, and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Prepare 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Write plans, direct the use of resources, and coordinate emergency operations under extraordinary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Exercise good judgment in evaluating situations and making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Coordinate with agencies at all levels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Have graduated from an accredited four-year college or university and have two years of responsible experience in emergency management, public or business administration, public relations, military preparedness or related work; or have an equivalent combination of experience and education, substituting 30 semester hours of graduate study for each year of the mandated work experience to a maximum of two years; or have an equivalent combination of experience and education, substituting one year of experience in the aforementioned areas for each year of college to a maximum of four years; or be an employee with current continuous experience in the state classified service that includes the equivalent of 18 months of full-time experience as an emergency management operations officer; or be an employee with current continuous experience in the state classified service that includes the equivalent of 36 months of full-time experience as a local emergency management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Local emergency management coordinator continuing education requirements. Each local emergency management coordinator shall meet the following educational development requirements. The director may extend the time frame for meeting these continuing education requirements upon request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two years of appointment as a local emergency management coordinator, the person must complete a set of study courses prescribed by the director and developed in consultation with the Iowa Emergency Management Association. The listing of courses will be maintained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two years of appointment as a local emergency management coordinator, the person must complete the professional development series of courses as prescribed by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requirements established in paragraphs </w:t>
      </w:r>
      <w:hyperlink r:id="rId25">
        <w:r>
          <w:rPr>
            <w:rStyle w:val="Hyperlink"/>
            <w:rFonts w:ascii="Times New Roman" w:hAnsi="Times New Roman"/>
            <w:b w:val="false"/>
            <w:i w:val="false"/>
            <w:color w:val="000000"/>
            <w:sz w:val="22"/>
          </w:rPr>
          <w:t>7.4(4)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 person must complete a minimum of 24 hours of state-approved emergency management training every 12 months as determined and communicated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local emergency management coordinator must document completion of courses by submitting a copy of the certificate of completion, a letter indicating satisfactory completion, or other appropriate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in consultation with the Iowa Emergency Management Association, may substitute courses when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management coordinator who has met the baseline requirements prior to October 1, 2006, will not be required to take any of the study courses prescribed by the director in accordance with paragraph </w:t>
      </w:r>
      <w:hyperlink r:id="rId26">
        <w:r>
          <w:rPr>
            <w:rStyle w:val="Hyperlink"/>
            <w:rFonts w:ascii="Times New Roman" w:hAnsi="Times New Roman"/>
            <w:b w:val="false"/>
            <w:i w:val="false"/>
            <w:color w:val="000000"/>
            <w:sz w:val="22"/>
          </w:rPr>
          <w:t>7.4(4)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reestablish the person’s baseline.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605—7.5</w:t>
      </w:r>
      <w:r>
        <w:rPr>
          <w:rFonts w:ascii="Times New Roman" w:hAnsi="Times New Roman"/>
          <w:b/>
          <w:i w:val="false"/>
          <w:color w:val="000000"/>
          <w:sz w:val="22"/>
        </w:rPr>
        <w:t xml:space="preserve">(29C) </w:t>
      </w:r>
      <w:r>
        <w:rPr>
          <w:rFonts w:ascii="Times New Roman" w:hAnsi="Times New Roman"/>
          <w:b/>
          <w:i w:val="false"/>
          <w:color w:val="000000"/>
          <w:sz w:val="22"/>
        </w:rPr>
        <w:t xml:space="preserve">Commission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Personnel for the commission, including the coordinator, operations officers, and emergency management assistants, are to be considered as employees of that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the personnel policies of the agency to include holidays, rate of pay, sick leave, vacation, and health benefits. The commission may adopt existing county or city policies in lieu of writing the commission’s own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605—7.6</w:t>
      </w:r>
      <w:r>
        <w:rPr>
          <w:rFonts w:ascii="Times New Roman" w:hAnsi="Times New Roman"/>
          <w:b/>
          <w:i w:val="false"/>
          <w:color w:val="000000"/>
          <w:sz w:val="22"/>
        </w:rPr>
        <w:t xml:space="preserve">(29C) </w:t>
      </w:r>
      <w:r>
        <w:rPr>
          <w:rFonts w:ascii="Times New Roman" w:hAnsi="Times New Roman"/>
          <w:b/>
          <w:i w:val="false"/>
          <w:color w:val="000000"/>
          <w:sz w:val="22"/>
        </w:rPr>
        <w:t xml:space="preserve">Damage assessment and financial assistance for disaster recovery. </w:t>
      </w:r>
      <w:r>
        <w:rPr>
          <w:rFonts w:ascii="Times New Roman" w:hAnsi="Times New Roman"/>
          <w:b w:val="false"/>
          <w:i w:val="false"/>
          <w:color w:val="000000"/>
          <w:sz w:val="22"/>
        </w:rPr>
        <w:t>Disaster-related expenditures and damages incurred by local governments, private nonprofit entities, individuals, and businesses may be reimbursable and covered under certain state and federal disaster assistance programs. Initial damage reports and preliminary damage assessments shall be provided to the department prior to the governor’s making a determination that the magnitude and impact are sufficient to warrant a request for a presidential disaster declaration or joint preliminary damage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Local preliminary damage assessment and impact statement. </w:t>
      </w:r>
      <w:r>
        <w:rPr>
          <w:rFonts w:ascii="Times New Roman" w:hAnsi="Times New Roman"/>
          <w:b w:val="false"/>
          <w:i w:val="false"/>
          <w:color w:val="000000"/>
          <w:sz w:val="22"/>
        </w:rPr>
        <w:t>The local emergency management coordinator shall be responsible for the coordination and collection of initial damage reports, damage assessment and impact statement information immediately following a disaster that affects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Damage assessment guidance and forms to be provided. </w:t>
      </w:r>
      <w:r>
        <w:rPr>
          <w:rFonts w:ascii="Times New Roman" w:hAnsi="Times New Roman"/>
          <w:b w:val="false"/>
          <w:i w:val="false"/>
          <w:color w:val="000000"/>
          <w:sz w:val="22"/>
        </w:rPr>
        <w:t>The department will provide guidance regarding the methodologies to be used in collecting damage assessment and impact statement information and shall provide the forms and format by which this information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Joint preliminary damage assessment. </w:t>
      </w:r>
      <w:r>
        <w:rPr>
          <w:rFonts w:ascii="Times New Roman" w:hAnsi="Times New Roman"/>
          <w:b w:val="false"/>
          <w:i w:val="false"/>
          <w:color w:val="000000"/>
          <w:sz w:val="22"/>
        </w:rPr>
        <w:t>Once the governor has determined that a request for a presidential disaster declaration is appropriate, joint preliminary damage assessment teams, consisting of local, state, and federal inspectors, may assess the damages and costs incurred or to be incurred in responding to and recovering from the disaster. All affected city, municipality, or county governments shall be required to provide assistance to the joint preliminary damage assessment teams for conducting damage assessments. The jurisdiction may be required to develop maps to show the damaged areas and to compile lists of names and telephone numbers of individuals, businesses, private nonprofit entities, and governmental agencies sustaining disaster response and recovery costs or damages. This joint preliminary damage assessment may be required before the request for presidential declaration is formally transmitted to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and hazard mitigation applicant briefing. </w:t>
      </w:r>
      <w:r>
        <w:rPr>
          <w:rFonts w:ascii="Times New Roman" w:hAnsi="Times New Roman"/>
          <w:b w:val="false"/>
          <w:i w:val="false"/>
          <w:color w:val="000000"/>
          <w:sz w:val="22"/>
        </w:rPr>
        <w:t xml:space="preserve">In the event that a presidential disaster declaration is received, affected jurisdictions and eligible private nonprofit entities should be prepared to attend a public assistance and hazard mitigation briefing to acquire the information and documents necessary to make their formal applications for public and hazard mitigation assistance. Failure to comply with the deadlines for making application for public and mitigation assistance as established in </w:t>
      </w:r>
      <w:r>
        <w:rPr>
          <w:rFonts w:ascii="Times New Roman" w:hAnsi="Times New Roman"/>
          <w:b w:val="false"/>
          <w:i w:val="false"/>
          <w:color w:val="000000"/>
          <w:sz w:val="22"/>
        </w:rPr>
        <w:t>44 CFR Parts 204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206</w:t>
      </w:r>
      <w:r>
        <w:rPr>
          <w:rFonts w:ascii="Times New Roman" w:hAnsi="Times New Roman"/>
          <w:b w:val="false"/>
          <w:i w:val="false"/>
          <w:color w:val="000000"/>
          <w:sz w:val="22"/>
        </w:rPr>
        <w:t xml:space="preserve"> and the Stafford Act (PL 923-288) may jeopardize or eliminate the jurisdiction’s or private nonprofit entity’s ability to receive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Forfeiture of assistance funding. </w:t>
      </w:r>
      <w:r>
        <w:rPr>
          <w:rFonts w:ascii="Times New Roman" w:hAnsi="Times New Roman"/>
          <w:b w:val="false"/>
          <w:i w:val="false"/>
          <w:color w:val="000000"/>
          <w:sz w:val="22"/>
        </w:rPr>
        <w:t>Failure to provide timely and accurate damage assessment and impact statement information may jeopardize or eliminate an applicant’s ability to receive federal and state disaster assistance funds that may otherwise be available.</w:t>
      </w:r>
    </w:p>
    <w:p>
      <w:pPr>
        <w:spacing w:before="0" w:after="0"/>
        <w:ind w:left="120"/>
        <w:jc w:val="both"/>
      </w:pPr>
      <w:r>
        <w:rPr>
          <w:rFonts w:ascii="Times New Roman" w:hAnsi="Times New Roman"/>
          <w:b w:val="false"/>
          <w:i w:val="false"/>
          <w:color w:val="000000"/>
          <w:sz w:val="22"/>
        </w:rPr>
        <w:t xml:space="preserve">State participation in funding of disaster financial assistance in a presidentially declared disaster is contingent upon the commission’s having on file a state-approved, comprehensive emergency plan that meets the standards as provided in paragraph </w:t>
      </w:r>
      <w:hyperlink r:id="rId27">
        <w:r>
          <w:rPr>
            <w:rStyle w:val="Hyperlink"/>
            <w:rFonts w:ascii="Times New Roman" w:hAnsi="Times New Roman"/>
            <w:b w:val="false"/>
            <w:i w:val="false"/>
            <w:color w:val="000000"/>
            <w:sz w:val="22"/>
          </w:rPr>
          <w:t>7.3(4)</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605—7.7</w:t>
      </w:r>
      <w:r>
        <w:rPr>
          <w:rFonts w:ascii="Times New Roman" w:hAnsi="Times New Roman"/>
          <w:b/>
          <w:i w:val="false"/>
          <w:color w:val="000000"/>
          <w:sz w:val="22"/>
        </w:rPr>
        <w:t xml:space="preserve">(29C) </w:t>
      </w:r>
      <w:r>
        <w:rPr>
          <w:rFonts w:ascii="Times New Roman" w:hAnsi="Times New Roman"/>
          <w:b/>
          <w:i w:val="false"/>
          <w:color w:val="000000"/>
          <w:sz w:val="22"/>
        </w:rPr>
        <w:t xml:space="preserve">Emergency management performance grant (EMPG) program. </w:t>
      </w:r>
      <w:r>
        <w:rPr>
          <w:rFonts w:ascii="Times New Roman" w:hAnsi="Times New Roman"/>
          <w:b w:val="false"/>
          <w:i w:val="false"/>
          <w:color w:val="000000"/>
          <w:sz w:val="22"/>
        </w:rPr>
        <w:t>Emergency management is a joint responsibility of the federal government, the states, and their political subdivisions. “Emergency management” means all those activities and measures designed or undertaken to mitigate against, prepare for, respond to, or recover from the effects of a human-caused, technological, or natural hazard. The purpose of the EMPG program is to provide the necessary assistance to commissions to ensure that a comprehensive emergency system exists for all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Commissions may be eligible for funding under the state and EMPG program by meeting the requirements, conditions, duties and responsibilities for commissions and local emergency management coordinators established in rules </w:t>
      </w:r>
      <w:hyperlink r:id="rId28">
        <w:r>
          <w:rPr>
            <w:rStyle w:val="Hyperlink"/>
            <w:rFonts w:ascii="Times New Roman" w:hAnsi="Times New Roman"/>
            <w:b w:val="false"/>
            <w:i w:val="false"/>
            <w:color w:val="000000"/>
            <w:sz w:val="22"/>
          </w:rPr>
          <w:t>605—7.3</w:t>
        </w:r>
      </w:hyperlink>
      <w:r>
        <w:rPr>
          <w:rFonts w:ascii="Times New Roman" w:hAnsi="Times New Roman"/>
          <w:b w:val="false"/>
          <w:i w:val="false"/>
          <w:color w:val="000000"/>
          <w:sz w:val="22"/>
        </w:rPr>
        <w:t xml:space="preserve">(29C) and </w:t>
      </w:r>
      <w:hyperlink r:id="rId29">
        <w:r>
          <w:rPr>
            <w:rStyle w:val="Hyperlink"/>
            <w:rFonts w:ascii="Times New Roman" w:hAnsi="Times New Roman"/>
            <w:b w:val="false"/>
            <w:i w:val="false"/>
            <w:color w:val="000000"/>
            <w:sz w:val="22"/>
          </w:rPr>
          <w:t>605—7.4</w:t>
        </w:r>
      </w:hyperlink>
      <w:r>
        <w:rPr>
          <w:rFonts w:ascii="Times New Roman" w:hAnsi="Times New Roman"/>
          <w:b w:val="false"/>
          <w:i w:val="false"/>
          <w:color w:val="000000"/>
          <w:sz w:val="22"/>
        </w:rPr>
        <w:t xml:space="preserve">(29C). In addition, the commission will ensure that the coordinator works an average of 20 hours per week or more toward the emergency management effort. Commissions seeking funding for full-time coordinators as described in subrule </w:t>
      </w:r>
      <w:hyperlink r:id="rId30">
        <w:r>
          <w:rPr>
            <w:rStyle w:val="Hyperlink"/>
            <w:rFonts w:ascii="Times New Roman" w:hAnsi="Times New Roman"/>
            <w:b w:val="false"/>
            <w:i w:val="false"/>
            <w:color w:val="000000"/>
            <w:sz w:val="22"/>
          </w:rPr>
          <w:t>7.7(3)</w:t>
        </w:r>
      </w:hyperlink>
      <w:r>
        <w:rPr>
          <w:rFonts w:ascii="Times New Roman" w:hAnsi="Times New Roman"/>
          <w:b w:val="false"/>
          <w:i w:val="false"/>
          <w:color w:val="000000"/>
          <w:sz w:val="22"/>
        </w:rPr>
        <w:t xml:space="preserve"> will ensure that the coordinator works an average of 40 hours per week toward the emergency management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funding. </w:t>
      </w:r>
      <w:r>
        <w:rPr>
          <w:rFonts w:ascii="Times New Roman" w:hAnsi="Times New Roman"/>
          <w:b w:val="false"/>
          <w:i w:val="false"/>
          <w:color w:val="000000"/>
          <w:sz w:val="22"/>
        </w:rPr>
        <w:t>Commissions may apply for funding under the EMPG program by entering into an agreement with the department and by completing the necessary application and forms, as published and distributed yearly to each commission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Allocation and distribution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use a formula for the allocation of funds based upon the number of eligible applicants, the part-time or full-time status of the coordinator, 50 percent equal-share base, and 50 percent population base. The total allocation of funds for an applicant may not exceed the lesser of $39,000 or the amount requested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formula shall be applied in the following manner: The pass-through amount is divided equally between an equal-share base and a population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total equal-share base dollars is divided by the total number of EMPG counties to establish a per-county average. For counties with part-time coordinators, the per-county average is reduced by 50 percent to determine the part-time county allocation. The total baseline dollar amount, minus the cumulative total dollars already allocated to part-time counties, is then divided by the total number of counties with full-time coordinators to determine the full-time county allocation.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population base amount for each county is determined by adding the populations of all counties together; then each county’s population is divided by that total population to determine a percentage. The total population base dollars are then multiplied by a county’s percentage to determine that county’s share of the population dollars.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will be reimbursed to commissions on a state fiscal year, quarterly basis, and such reimbursement will be based on eligible claims made against the commission’s allocation. In no case will the allocation or reimbursement of funds be greater than one-half of the total cost of eligible emergency management-related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The director may withhold or recover EMPG funds from any commission for its failure or its coordinator’s failure to meet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 a qualified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Comply with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 a comprehensive emergency plan that meets current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 mission of its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Show continuing progress in fulfilling the commission’s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 commission business according to the guidelines and rules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Enter into and file a cooperative agreement with the department by the stipulated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Abide by state and federal regulations governing the proper disbursement and accountability for federal funds, equal employment opportunity and merit system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Accomplish work specified in one or more program areas, as agreed upon in the cooperative agreement, or applicable state or federal rule or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the prescribed matching financial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Expend funds for authorized purposes or in accordance with applicable laws, regulations,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Respond to, or cooperate with, state efforts to determine the extent and nature of compliance with the cooperative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color w:val="000000"/>
          <w:sz w:val="22"/>
        </w:rPr>
        <w:t xml:space="preserve">Serious nonperformance problems. </w:t>
      </w:r>
      <w:r>
        <w:rPr>
          <w:rFonts w:ascii="Times New Roman" w:hAnsi="Times New Roman"/>
          <w:b w:val="false"/>
          <w:i w:val="false"/>
          <w:color w:val="000000"/>
          <w:sz w:val="22"/>
        </w:rPr>
        <w:t>If a commission cannot demonstrate achievement of agreed-upon work products, the department is empowered to withhold reimbursement or to recover funds from the commission. Corrective action procedures are designed to focus the commission’s attention on nonperformance problems and to bring about compliance with the cooperative agreement. Corrective action procedures, which could lead to sanction, may be enacted as soon as the director becomes aware of serious nonperformance or noncompliance. This realization may arise from staff visits or other contacts with the local emergency management agency or commission, from indications in the commission’s or coordinator’s quarterly report that indicate a significant shortfall from planned accomplishments, or from the commission’s or coordinator’s failure to report. Financial sanctions are to be applied only after corrective action remedies fail to result in accomplishment of agreed-upon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Informal corrective action. </w:t>
      </w:r>
      <w:r>
        <w:rPr>
          <w:rFonts w:ascii="Times New Roman" w:hAnsi="Times New Roman"/>
          <w:b w:val="false"/>
          <w:i w:val="false"/>
          <w:color w:val="000000"/>
          <w:sz w:val="22"/>
        </w:rPr>
        <w:t>As a first and basic step to correcting nonperformance, a designated member of the department staff will visit, call or write the local emergency management coordinator to determine the reason for nonperformance and seek an agreeable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Formal corrective action. </w:t>
      </w:r>
      <w:r>
        <w:rPr>
          <w:rFonts w:ascii="Times New Roman" w:hAnsi="Times New Roman"/>
          <w:b w:val="false"/>
          <w:i w:val="false"/>
          <w:color w:val="000000"/>
          <w:sz w:val="22"/>
        </w:rPr>
        <w:t>On those occasions when there is considerable discrepancy between agreed-upon and actual performance and response to informal corrective action is not sufficient or agreeable, the department will take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staff will review the scope of work, as agreed to in the cooperative agreement, to determine the extent of nonperformance. To focus attention on the total nonperformance issue, all instances of nonperformance will be addressed together in a single correspondence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director will prepare a letter to the commission that will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why the department believes the commission may be in noncompliance, including the specified provisions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efforts made by the department to resolve the matter and the reasons these efforts were unsuccessful.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declaration of the commission’s commitment to accomplishing the work agreed upon and specified in the comprehensive cooperative agreement and its importance to the emergency management capability of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exact actions or alternative actions required of the commission to bring the problem to an agreed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that this letter constitutes the final no-penalty effort to achieve a resolution and that financial sanctions provided for in these rules will be undertaken if a satisfactory response is not received by the department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w:t>
      </w:r>
      <w:r>
        <w:rPr>
          <w:rFonts w:ascii="Times New Roman" w:hAnsi="Times New Roman"/>
          <w:b w:val="false"/>
          <w:i w:val="false"/>
          <w:color w:val="000000"/>
          <w:sz w:val="22"/>
        </w:rPr>
        <w:t> </w:t>
      </w:r>
      <w:r>
        <w:rPr>
          <w:rFonts w:ascii="Times New Roman" w:hAnsi="Times New Roman"/>
          <w:b w:val="false"/>
          <w:i/>
          <w:color w:val="000000"/>
          <w:sz w:val="22"/>
        </w:rPr>
        <w:t xml:space="preserve">Financial sanctions. </w:t>
      </w:r>
      <w:r>
        <w:rPr>
          <w:rFonts w:ascii="Times New Roman" w:hAnsi="Times New Roman"/>
          <w:b w:val="false"/>
          <w:i w:val="false"/>
          <w:color w:val="000000"/>
          <w:sz w:val="22"/>
        </w:rPr>
        <w:t>If the corrective actions heretofore described fail to produce a satisfactory resolution to cases of serious nonperformance, the director may invoke the following financial sanction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Send a Notice of Intention to Withhold Payment to the chairperson of the commission. This notice shall also contain notice of a reasonable time and place for a hearing, should the commission request a hearing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request by a commission for a hearing must be made in writing, to the department, within 15 days of receipt of the Notice of Intention to Withhold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hearing under the Notice of Intention to Withhold Payment shall be held before the director. However, the director may designate an administrative law judge to take evidence and certify to the director the entire record, including findings and recommended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shall be given full opportunity to present its position orally and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after a hearing, the director finds sufficient evidence that the commission has violated established rules and regulations or the terms and conditions of the cooperative agreement, the director may withhold such contributions and payments as may be considered advisable, until the failure to expend funds in accordance with said rules, regulations, terms and conditions has been corrected or the director is satisfied that there will no longer be any such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the expiration of the 15-day period stated for a hearing, a hearing has not been requested, the director may issue the findings and take appropriate action as described in paragraph </w:t>
      </w:r>
      <w:hyperlink r:id="rId31">
        <w:r>
          <w:rPr>
            <w:rStyle w:val="Hyperlink"/>
            <w:rFonts w:ascii="Times New Roman" w:hAnsi="Times New Roman"/>
            <w:b w:val="false"/>
            <w:i w:val="false"/>
            <w:color w:val="000000"/>
            <w:sz w:val="22"/>
          </w:rPr>
          <w:t>7.7(7)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director finds there is serious nonperformance by the commission or its coordinator and issues an order to withhold payments to the commission as described in this rule, the commission shall not receive funds under the EMPG program for the remainder of the assigned grants performance period in which the order is issued and one additional year or until such time that all issues of nonperformance have been agreeably addressed by the department and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2">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29C.8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4/29/77, Notice 1/12/77—published 5/18/77, effective 6/22/77]</w:t>
      </w:r>
    </w:p>
    <w:p>
      <w:pPr>
        <w:spacing w:before="0" w:after="0"/>
        <w:ind w:left="120"/>
        <w:jc w:val="center"/>
      </w:pPr>
      <w:r>
        <w:rPr>
          <w:rFonts w:ascii="Times New Roman" w:hAnsi="Times New Roman"/>
          <w:b w:val="false"/>
          <w:i w:val="false"/>
          <w:color w:val="000000"/>
          <w:sz w:val="21"/>
        </w:rPr>
        <w:t>[Filed 3/20/90, Notice 2/7/90—published 4/18/90, effective 5/23/90]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emergency 4/24/00—published 5/17/00, effective 5/17/00]</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without Notice 9/15/00—published 10/4/00, effective 11/8/00]</w:t>
      </w:r>
    </w:p>
    <w:p>
      <w:pPr>
        <w:spacing w:before="0" w:after="0"/>
        <w:ind w:left="120"/>
        <w:jc w:val="center"/>
      </w:pPr>
      <w:r>
        <w:rPr>
          <w:rFonts w:ascii="Times New Roman" w:hAnsi="Times New Roman"/>
          <w:b w:val="false"/>
          <w:i w:val="false"/>
          <w:color w:val="000000"/>
          <w:sz w:val="21"/>
        </w:rPr>
        <w:t>[Filed emergency 8/15/03—published 9/3/03, effective 9/3/03]</w:t>
      </w:r>
    </w:p>
    <w:p>
      <w:pPr>
        <w:spacing w:before="0" w:after="0"/>
        <w:ind w:left="120"/>
        <w:jc w:val="center"/>
      </w:pPr>
      <w:r>
        <w:rPr>
          <w:rFonts w:ascii="Times New Roman" w:hAnsi="Times New Roman"/>
          <w:b w:val="false"/>
          <w:i w:val="false"/>
          <w:color w:val="000000"/>
          <w:sz w:val="21"/>
        </w:rPr>
        <w:t>[Filed 10/23/03, Notice 9/3/03—published 11/12/03, effective 12/17/03]</w:t>
      </w:r>
    </w:p>
    <w:p>
      <w:pPr>
        <w:spacing w:before="0" w:after="0"/>
        <w:ind w:left="120"/>
        <w:jc w:val="center"/>
      </w:pPr>
      <w:r>
        <w:rPr>
          <w:rFonts w:ascii="Times New Roman" w:hAnsi="Times New Roman"/>
          <w:b w:val="false"/>
          <w:i w:val="false"/>
          <w:color w:val="000000"/>
          <w:sz w:val="21"/>
        </w:rPr>
        <w:t>[Filed 8/10/07, Notice 6/20/07—published 8/29/07, effective 10/3/07]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8116B</w:t>
      </w:r>
      <w:r>
        <w:rPr>
          <w:rFonts w:ascii="Times New Roman" w:hAnsi="Times New Roman"/>
          <w:b w:val="false"/>
          <w:i w:val="false"/>
          <w:color w:val="000000"/>
          <w:sz w:val="21"/>
        </w:rPr>
        <w:t xml:space="preserve"> (Notice ARC 7951B, IAB 7/15/09)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Without Notice ARC 8543B, IAB 2/24/10, effective 4/14/10]</w:t>
      </w:r>
    </w:p>
    <w:p>
      <w:pPr>
        <w:spacing w:before="0" w:after="0"/>
        <w:ind w:left="120"/>
        <w:jc w:val="center"/>
      </w:pPr>
      <w:r>
        <w:rPr>
          <w:rFonts w:ascii="Times New Roman" w:hAnsi="Times New Roman"/>
          <w:b w:val="false"/>
          <w:i w:val="false"/>
          <w:color w:val="000000"/>
          <w:sz w:val="21"/>
        </w:rPr>
        <w:t>[Filed ARC 9332B</w:t>
      </w:r>
      <w:r>
        <w:rPr>
          <w:rFonts w:ascii="Times New Roman" w:hAnsi="Times New Roman"/>
          <w:b w:val="false"/>
          <w:i w:val="false"/>
          <w:color w:val="000000"/>
          <w:sz w:val="21"/>
        </w:rPr>
        <w:t xml:space="preserve"> (Notice ARC 9226B, IAB 11/17/10)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0129C</w:t>
      </w:r>
      <w:r>
        <w:rPr>
          <w:rFonts w:ascii="Times New Roman" w:hAnsi="Times New Roman"/>
          <w:b w:val="false"/>
          <w:i w:val="false"/>
          <w:color w:val="000000"/>
          <w:sz w:val="21"/>
        </w:rPr>
        <w:t xml:space="preserve"> (Notice ARC 0023C, IAB 2/22/12)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0336C</w:t>
      </w:r>
      <w:r>
        <w:rPr>
          <w:rFonts w:ascii="Times New Roman" w:hAnsi="Times New Roman"/>
          <w:b w:val="false"/>
          <w:i w:val="false"/>
          <w:color w:val="000000"/>
          <w:sz w:val="21"/>
        </w:rPr>
        <w:t xml:space="preserve"> (Notice ARC 0233C,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2326C</w:t>
      </w:r>
      <w:r>
        <w:rPr>
          <w:rFonts w:ascii="Times New Roman" w:hAnsi="Times New Roman"/>
          <w:b w:val="false"/>
          <w:i w:val="false"/>
          <w:color w:val="000000"/>
          <w:sz w:val="21"/>
        </w:rPr>
        <w:t xml:space="preserve"> (Notice ARC 2214C,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2618C</w:t>
      </w:r>
      <w:r>
        <w:rPr>
          <w:rFonts w:ascii="Times New Roman" w:hAnsi="Times New Roman"/>
          <w:b w:val="false"/>
          <w:i w:val="false"/>
          <w:color w:val="000000"/>
          <w:sz w:val="21"/>
        </w:rPr>
        <w:t xml:space="preserve"> (Notice ARC 2534C, IAB 5/11/16)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2804C</w:t>
      </w:r>
      <w:r>
        <w:rPr>
          <w:rFonts w:ascii="Times New Roman" w:hAnsi="Times New Roman"/>
          <w:b w:val="false"/>
          <w:i w:val="false"/>
          <w:color w:val="000000"/>
          <w:sz w:val="21"/>
        </w:rPr>
        <w:t xml:space="preserve"> (Notice ARC 2713C, IAB 9/14/16)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5186C</w:t>
      </w:r>
      <w:r>
        <w:rPr>
          <w:rFonts w:ascii="Times New Roman" w:hAnsi="Times New Roman"/>
          <w:b w:val="false"/>
          <w:i w:val="false"/>
          <w:color w:val="000000"/>
          <w:sz w:val="21"/>
        </w:rPr>
        <w:t xml:space="preserve"> (Notice ARC 5085C, IAB 7/15/20)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9271C</w:t>
      </w:r>
      <w:r>
        <w:rPr>
          <w:rFonts w:ascii="Times New Roman" w:hAnsi="Times New Roman"/>
          <w:b w:val="false"/>
          <w:i w:val="false"/>
          <w:color w:val="000000"/>
          <w:sz w:val="21"/>
        </w:rPr>
        <w:t xml:space="preserve"> (Notice ARC 9019C, IAB 3/19/25)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9.pdf" Type="http://schemas.openxmlformats.org/officeDocument/2006/relationships/hyperlink" Id="rId5"/>
    <Relationship TargetMode="External" Target="https://www.legis.iowa.gov/docs/ico/chapter/29C.2.pdf" Type="http://schemas.openxmlformats.org/officeDocument/2006/relationships/hyperlink" Id="rId6"/>
    <Relationship TargetMode="External" Target="https://www.legis.iowa.gov/docs/ico/chapter/29C.2.pdf" Type="http://schemas.openxmlformats.org/officeDocument/2006/relationships/hyperlink" Id="rId7"/>
    <Relationship TargetMode="External" Target="https://www.legis.iowa.gov/docs/ico/chapter/29C.9.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4.pdf" Type="http://schemas.openxmlformats.org/officeDocument/2006/relationships/hyperlink" Id="rId11"/>
    <Relationship TargetMode="External" Target="https://www.legis.iowa.gov/docs/ico/chapter/29C.17.pdf" Type="http://schemas.openxmlformats.org/officeDocument/2006/relationships/hyperlink" Id="rId12"/>
    <Relationship TargetMode="External" Target="https://www.legis.iowa.gov/docs/iac/rule/605.7.4.pdf" Type="http://schemas.openxmlformats.org/officeDocument/2006/relationships/hyperlink" Id="rId13"/>
    <Relationship TargetMode="External" Target="https://www.legis.iowa.gov/docs/ico/chapter/29C.11.pdf" Type="http://schemas.openxmlformats.org/officeDocument/2006/relationships/hyperlink" Id="rId14"/>
    <Relationship TargetMode="External" Target="https://www.legis.iowa.gov/docs/ico/chapter/29C.22.pdf" Type="http://schemas.openxmlformats.org/officeDocument/2006/relationships/hyperlink" Id="rId15"/>
    <Relationship TargetMode="External" Target="https://www.legis.iowa.gov/docs/ico/chapter/29C.6.pdf" Type="http://schemas.openxmlformats.org/officeDocument/2006/relationships/hyperlink" Id="rId16"/>
    <Relationship TargetMode="External" Target="https://www.legis.iowa.gov/docs/ico/chapter/29C.7.pdf" Type="http://schemas.openxmlformats.org/officeDocument/2006/relationships/hyperlink" Id="rId17"/>
    <Relationship TargetMode="External" Target="https://www.legis.iowa.gov/docs/ico/chapter/29C.9.pdf" Type="http://schemas.openxmlformats.org/officeDocument/2006/relationships/hyperlink" Id="rId18"/>
    <Relationship TargetMode="External" Target="https://www.legis.iowa.gov/docs/ico/chapter/29C.9.pdf" Type="http://schemas.openxmlformats.org/officeDocument/2006/relationships/hyperlink" Id="rId19"/>
    <Relationship TargetMode="External" Target="https://www.legis.iowa.gov/docs/iac/rule/605.7.4.pdf" Type="http://schemas.openxmlformats.org/officeDocument/2006/relationships/hyperlink" Id="rId20"/>
    <Relationship TargetMode="External" Target="https://www.legis.iowa.gov/docs/ico/chapter/28E.pdf" Type="http://schemas.openxmlformats.org/officeDocument/2006/relationships/hyperlink" Id="rId21"/>
    <Relationship TargetMode="External" Target="https://www.legis.iowa.gov/docs/ico/chapter/29C.9.pdf" Type="http://schemas.openxmlformats.org/officeDocument/2006/relationships/hyperlink" Id="rId22"/>
    <Relationship TargetMode="External" Target="https://www.legis.iowa.gov/docs/ico/chapter/29C.10.pdf" Type="http://schemas.openxmlformats.org/officeDocument/2006/relationships/hyperlink" Id="rId23"/>
    <Relationship TargetMode="External" Target="https://www.legis.iowa.gov/docs/iac/rule/605.7.3.pdf" Type="http://schemas.openxmlformats.org/officeDocument/2006/relationships/hyperlink" Id="rId24"/>
    <Relationship TargetMode="External" Target="https://www.legis.iowa.gov/docs/iac/rule/605.7.4.pdf" Type="http://schemas.openxmlformats.org/officeDocument/2006/relationships/hyperlink" Id="rId25"/>
    <Relationship TargetMode="External" Target="https://www.legis.iowa.gov/docs/iac/rule/605.7.4.pdf" Type="http://schemas.openxmlformats.org/officeDocument/2006/relationships/hyperlink" Id="rId26"/>
    <Relationship TargetMode="External" Target="https://www.legis.iowa.gov/docs/iac/rule/605.7.3.pdf" Type="http://schemas.openxmlformats.org/officeDocument/2006/relationships/hyperlink" Id="rId27"/>
    <Relationship TargetMode="External" Target="https://www.legis.iowa.gov/docs/iac/rule/605.7.3.pdf" Type="http://schemas.openxmlformats.org/officeDocument/2006/relationships/hyperlink" Id="rId28"/>
    <Relationship TargetMode="External" Target="https://www.legis.iowa.gov/docs/iac/rule/605.7.4.pdf" Type="http://schemas.openxmlformats.org/officeDocument/2006/relationships/hyperlink" Id="rId29"/>
    <Relationship TargetMode="External" Target="https://www.legis.iowa.gov/docs/iac/rule/605.7.7.pdf" Type="http://schemas.openxmlformats.org/officeDocument/2006/relationships/hyperlink" Id="rId30"/>
    <Relationship TargetMode="External" Target="https://www.legis.iowa.gov/docs/iac/rule/605.7.7.pdf" Type="http://schemas.openxmlformats.org/officeDocument/2006/relationships/hyperlink" Id="rId31"/>
    <Relationship TargetMode="External" Target="https://www.legis.iowa.gov/docs/ico/chapter/29C.6.pdf" Type="http://schemas.openxmlformats.org/officeDocument/2006/relationships/hyperlink" Id="rId32"/>
    <Relationship TargetMode="External" Target="https://www.legis.iowa.gov/docs/ico/chapter/29C.8.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