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172</w:t>
      </w:r>
    </w:p>
    <w:p>
      <w:pPr>
        <w:spacing w:before="0" w:after="0"/>
        <w:ind w:left="120"/>
        <w:jc w:val="center"/>
      </w:pPr>
      <w:r>
        <w:rPr>
          <w:rFonts w:ascii="Times New Roman" w:hAnsi="Times New Roman"/>
          <w:b w:val="false"/>
          <w:i w:val="false"/>
          <w:color w:val="000000"/>
          <w:sz w:val="21"/>
        </w:rPr>
        <w:t>FAMILY-CENTERED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These rules define and describe procedures for delivery of family-centered services. The rules describe the service definitions, eligibility criteria, and procedures for client appeals.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9491B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5248C</w:t>
      </w:r>
      <w:r>
        <w:rPr>
          <w:rFonts w:ascii="Times New Roman" w:hAnsi="Times New Roman"/>
          <w:b w:val="false"/>
          <w:i w:val="false"/>
          <w:color w:val="000000"/>
          <w:sz w:val="16"/>
        </w:rPr>
        <w:t>, IAB 11/4/20, effective 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441—172.1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child welfare service case” </w:t>
      </w:r>
      <w:r>
        <w:rPr>
          <w:rFonts w:ascii="Times New Roman" w:hAnsi="Times New Roman"/>
          <w:b w:val="false"/>
          <w:i w:val="false"/>
          <w:color w:val="000000"/>
          <w:sz w:val="22"/>
        </w:rPr>
        <w:t>means at least one child in a household is involved in agency services with an agency-assigned social work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worker” </w:t>
      </w:r>
      <w:r>
        <w:rPr>
          <w:rFonts w:ascii="Times New Roman" w:hAnsi="Times New Roman"/>
          <w:b w:val="false"/>
          <w:i w:val="false"/>
          <w:color w:val="000000"/>
          <w:sz w:val="22"/>
        </w:rPr>
        <w:t>means the agency child welfare worker who has been assigned responsibility for a child and family’s case, either to perform a child abuse assessment, family assessment, or child in need of assistance (CINA) assessment or assume case management responsibility for ongoing agency child welfare service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“Candidate for foster care” </w:t>
      </w:r>
      <w:r>
        <w:rPr>
          <w:rFonts w:ascii="Times New Roman" w:hAnsi="Times New Roman"/>
          <w:b w:val="false"/>
          <w:i w:val="false"/>
          <w:color w:val="000000"/>
          <w:sz w:val="22"/>
        </w:rPr>
        <w:t xml:space="preserve">means a child who is identified in a prevention plan as being at imminent risk of entering foster care but who can remain safely in the child’s home or in a kinship placement as long as services or programs that are necessary to prevent the entry of the child into foster care are provided. “Candidate for foster care” includes a child whose adoption or guardianship arrangement is at risk of a disruption or dissolution that would result in a foster care 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“children,”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“youth” </w:t>
      </w:r>
      <w:r>
        <w:rPr>
          <w:rFonts w:ascii="Times New Roman" w:hAnsi="Times New Roman"/>
          <w:b w:val="false"/>
          <w:i w:val="false"/>
          <w:color w:val="000000"/>
          <w:sz w:val="22"/>
        </w:rPr>
        <w:t xml:space="preserve">means a person or persons who meet the definition of a child in Iowa Code section </w:t>
      </w:r>
      <w:hyperlink r:id="rId5">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abuse” </w:t>
      </w:r>
      <w:r>
        <w:rPr>
          <w:rFonts w:ascii="Times New Roman" w:hAnsi="Times New Roman"/>
          <w:b w:val="false"/>
          <w:i w:val="false"/>
          <w:color w:val="000000"/>
          <w:sz w:val="22"/>
        </w:rPr>
        <w:t xml:space="preserve">means one or more of the categories of child abuse defined in Iowa Code section </w:t>
      </w:r>
      <w:hyperlink r:id="rId6">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 </w:t>
      </w:r>
      <w:r>
        <w:rPr>
          <w:rFonts w:ascii="Times New Roman" w:hAnsi="Times New Roman"/>
          <w:b w:val="false"/>
          <w:i w:val="false"/>
          <w:color w:val="000000"/>
          <w:sz w:val="22"/>
        </w:rPr>
        <w:t xml:space="preserve">means an assessment process by which the agency responds to all accepted reports of child abuse that allege child abuse as defined in Iowa Code section </w:t>
      </w:r>
      <w:hyperlink r:id="rId7">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(3) and (5) through (11); or that allege child abuse as defined in Iowa Code section </w:t>
      </w:r>
      <w:hyperlink r:id="rId8">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(4) that also allege imminent danger, death, or injury to a child. A child abuse assessment results in a disposition and a determination of whether a case meets the definition of child abuse and a determination of whether criteria for placement on the registry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in need of assistance”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“CINA” </w:t>
      </w:r>
      <w:r>
        <w:rPr>
          <w:rFonts w:ascii="Times New Roman" w:hAnsi="Times New Roman"/>
          <w:b w:val="false"/>
          <w:i w:val="false"/>
          <w:color w:val="000000"/>
          <w:sz w:val="22"/>
        </w:rPr>
        <w:t xml:space="preserve">means a child adjudicated by juvenile court to be a child in need of assistance pursuant to Iowa Code section </w:t>
      </w:r>
      <w:hyperlink r:id="rId9">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vulnerability” </w:t>
      </w:r>
      <w:r>
        <w:rPr>
          <w:rFonts w:ascii="Times New Roman" w:hAnsi="Times New Roman"/>
          <w:b w:val="false"/>
          <w:i w:val="false"/>
          <w:color w:val="000000"/>
          <w:sz w:val="22"/>
        </w:rPr>
        <w:t>means the degree that a child cannot on the child’s own avoid, negate, or minimize the impact of present or impending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 private organization authorized to do business in Iowa that has entered into a contract with the agency to provide one or more of the services defined in this chapter. “Contractor” refers to the organization that is named as the responsible party in the contract and whose authorized representative has signed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assessment” </w:t>
      </w:r>
      <w:r>
        <w:rPr>
          <w:rFonts w:ascii="Times New Roman" w:hAnsi="Times New Roman"/>
          <w:b w:val="false"/>
          <w:i w:val="false"/>
          <w:color w:val="000000"/>
          <w:sz w:val="22"/>
        </w:rPr>
        <w:t xml:space="preserve">means an assessment process by which the agency responds to all accepted reports of child abuse that allege child abuse as defined in Iowa Code section </w:t>
      </w:r>
      <w:hyperlink r:id="rId10">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(4), but do not allege imminent danger, death, or injury to a child. A family assessment does not include a determination of whether a case meets the definition of child abuse and does not include a determination of whether criteria for placement on the registry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“Family-centered services” </w:t>
      </w:r>
      <w:r>
        <w:rPr>
          <w:rFonts w:ascii="Times New Roman" w:hAnsi="Times New Roman"/>
          <w:b w:val="false"/>
          <w:i w:val="false"/>
          <w:color w:val="000000"/>
          <w:sz w:val="22"/>
        </w:rPr>
        <w:t xml:space="preserve">means the services provided by contract pursuant to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preservation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“FPS” </w:t>
      </w:r>
      <w:r>
        <w:rPr>
          <w:rFonts w:ascii="Times New Roman" w:hAnsi="Times New Roman"/>
          <w:b w:val="false"/>
          <w:i w:val="false"/>
          <w:color w:val="000000"/>
          <w:sz w:val="22"/>
        </w:rPr>
        <w:t>means short-term, intensive, home-based crisis interventions targeted to families that have children at imminent risk of removal and placement in foster care. Family preservation services combine skill-based interventions and flexibility so that services are available to families according to their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“Fictive kin” </w:t>
      </w:r>
      <w:r>
        <w:rPr>
          <w:rFonts w:ascii="Times New Roman" w:hAnsi="Times New Roman"/>
          <w:b w:val="false"/>
          <w:i w:val="false"/>
          <w:color w:val="000000"/>
          <w:sz w:val="22"/>
        </w:rPr>
        <w:t>means a person who is unrelated to a child by blood, adoption, or marriage, but who has an emotionally significant relationship with the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w:t>
      </w:r>
      <w:r>
        <w:rPr>
          <w:rFonts w:ascii="Times New Roman" w:hAnsi="Times New Roman"/>
          <w:b w:val="false"/>
          <w:i w:val="false"/>
          <w:color w:val="000000"/>
          <w:sz w:val="22"/>
        </w:rPr>
        <w:t>means the place where a child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“Kinship caregiver” </w:t>
      </w:r>
      <w:r>
        <w:rPr>
          <w:rFonts w:ascii="Times New Roman" w:hAnsi="Times New Roman"/>
          <w:b w:val="false"/>
          <w:i w:val="false"/>
          <w:color w:val="000000"/>
          <w:sz w:val="22"/>
        </w:rPr>
        <w:t>means a relative or fictive kin providing care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“Kinship navigator services” </w:t>
      </w:r>
      <w:r>
        <w:rPr>
          <w:rFonts w:ascii="Times New Roman" w:hAnsi="Times New Roman"/>
          <w:b w:val="false"/>
          <w:i w:val="false"/>
          <w:color w:val="000000"/>
          <w:sz w:val="22"/>
        </w:rPr>
        <w:t xml:space="preserve">means the services and supports providing information, referral, and follow-up to kinship caregivers who are caring for and raising children to link kinship caregivers to benefits and other resources they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“Non-agency-involved case” </w:t>
      </w:r>
      <w:r>
        <w:rPr>
          <w:rFonts w:ascii="Times New Roman" w:hAnsi="Times New Roman"/>
          <w:b w:val="false"/>
          <w:i w:val="false"/>
          <w:color w:val="000000"/>
          <w:sz w:val="22"/>
        </w:rPr>
        <w:t>means a case in which no one in the household is involved with an agency-assigned social work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“Permanency” </w:t>
      </w:r>
      <w:r>
        <w:rPr>
          <w:rFonts w:ascii="Times New Roman" w:hAnsi="Times New Roman"/>
          <w:b w:val="false"/>
          <w:i w:val="false"/>
          <w:color w:val="000000"/>
          <w:sz w:val="22"/>
        </w:rPr>
        <w:t>means a child has a safe, stable, custodial environment in which to grow up and a lifelong relationship with a nurturing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“Protective capacities” </w:t>
      </w:r>
      <w:r>
        <w:rPr>
          <w:rFonts w:ascii="Times New Roman" w:hAnsi="Times New Roman"/>
          <w:b w:val="false"/>
          <w:i w:val="false"/>
          <w:color w:val="000000"/>
          <w:sz w:val="22"/>
        </w:rPr>
        <w:t>means the family strengths or resources that reduce, control, or prevent risks from arising or from having an unsafe impact on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w:t>
      </w:r>
      <w:r>
        <w:rPr>
          <w:rFonts w:ascii="Times New Roman" w:hAnsi="Times New Roman"/>
          <w:b w:val="false"/>
          <w:i w:val="false"/>
          <w:color w:val="000000"/>
          <w:sz w:val="22"/>
        </w:rPr>
        <w:t>means the probability or likelihood that a child will experience maltreatment.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 </w:t>
      </w:r>
      <w:r>
        <w:rPr>
          <w:rFonts w:ascii="Times New Roman" w:hAnsi="Times New Roman"/>
          <w:b w:val="false"/>
          <w:i w:val="false"/>
          <w:color w:val="000000"/>
          <w:sz w:val="22"/>
        </w:rPr>
        <w:t>means that no signs of present or impending danger to a child are identified or that one or more signs of present or impending danger are identified but the child’s degree of vulnerability or the caregiver’s protective capacities offset the current threat. The child is not likely to be in imminent danger of maltreatment.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“SafeCare®” </w:t>
      </w:r>
      <w:r>
        <w:rPr>
          <w:rFonts w:ascii="Times New Roman" w:hAnsi="Times New Roman"/>
          <w:b w:val="false"/>
          <w:i w:val="false"/>
          <w:color w:val="000000"/>
          <w:sz w:val="22"/>
        </w:rPr>
        <w:t xml:space="preserve">means an evidence-based training curriculum for parents who are at risk or have been reported for child abuse. Through SafeCare®, parents receive weekly home visits to improve skills in several areas, including home safety, health care, and parent-child interaction.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“Solution Based Casework®”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“SBC” </w:t>
      </w:r>
      <w:r>
        <w:rPr>
          <w:rFonts w:ascii="Times New Roman" w:hAnsi="Times New Roman"/>
          <w:b w:val="false"/>
          <w:i w:val="false"/>
          <w:color w:val="000000"/>
          <w:sz w:val="22"/>
        </w:rPr>
        <w:t xml:space="preserve">means an evidence-based, family-centered model of child welfare assessment, case planning, and ongoing casework. The goal of SBC is to work in partnership with the family to help identify the family’s strengths, to focus on everyday life events, and to help the family build the skills necessary to manage difficult situations.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“Solution focused meeting” </w:t>
      </w:r>
      <w:r>
        <w:rPr>
          <w:rFonts w:ascii="Times New Roman" w:hAnsi="Times New Roman"/>
          <w:b w:val="false"/>
          <w:i w:val="false"/>
          <w:color w:val="000000"/>
          <w:sz w:val="22"/>
        </w:rPr>
        <w:t xml:space="preserve">means a gathering of family members, friends, and formal and informal supports, with the assistance of a trained facilitator, to draw on past successes of the family in problem solving and work in partnership with the family to enhance safety of the children.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9491B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5248C</w:t>
      </w:r>
      <w:r>
        <w:rPr>
          <w:rFonts w:ascii="Times New Roman" w:hAnsi="Times New Roman"/>
          <w:b w:val="false"/>
          <w:i w:val="false"/>
          <w:color w:val="000000"/>
          <w:sz w:val="16"/>
        </w:rPr>
        <w:t>, IAB 11/4/20, effective 1/1/21</w:t>
      </w:r>
      <w:r>
        <w:rPr>
          <w:rFonts w:ascii="Times New Roman" w:hAnsi="Times New Roman"/>
          <w:b w:val="false"/>
          <w:i w:val="false"/>
          <w:color w:val="000000"/>
          <w:sz w:val="16"/>
        </w:rPr>
        <w:t xml:space="preserve">; </w:t>
      </w:r>
      <w:r>
        <w:rPr>
          <w:rFonts w:ascii="Times New Roman" w:hAnsi="Times New Roman"/>
          <w:b/>
          <w:i w:val="false"/>
          <w:color w:val="000000"/>
          <w:sz w:val="16"/>
        </w:rPr>
        <w:t>ARC 6936C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441—172.2</w:t>
      </w:r>
      <w:r>
        <w:rPr>
          <w:rFonts w:ascii="Times New Roman" w:hAnsi="Times New Roman"/>
          <w:b/>
          <w:i w:val="false"/>
          <w:color w:val="000000"/>
          <w:sz w:val="22"/>
        </w:rPr>
        <w:t xml:space="preserve">(234)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Family-centered services are services designed to prevent the child from entering foster care and to assist the family when the needs of the child, parent, or kinship caregiver are directly related to the safety, permanency, or well-being of the child. The outcome of the services may be to maintain the child with a parent or in the home of the kinship caregiver, to reunify the child safely with a parent or kinship caregiver, or to achieve permanent family connections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172.2(1)</w:t>
      </w:r>
      <w:r>
        <w:rPr>
          <w:rFonts w:ascii="Times New Roman" w:hAnsi="Times New Roman"/>
          <w:b w:val="false"/>
          <w:i w:val="false"/>
          <w:color w:val="000000"/>
          <w:sz w:val="22"/>
        </w:rPr>
        <w:t> </w:t>
      </w:r>
      <w:r>
        <w:rPr>
          <w:rFonts w:ascii="Times New Roman" w:hAnsi="Times New Roman"/>
          <w:b w:val="false"/>
          <w:i w:val="false"/>
          <w:color w:val="000000"/>
          <w:sz w:val="22"/>
        </w:rPr>
        <w:t>Family-centered services provide interventions and supports based on identified needs of children and families that have come to the agency’s attention because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Evaluation of the findings of a child abuse assessment report and the family’s risk assessment score;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adjudication as a child in need of assistance pursuant to Iowa Code section </w:t>
      </w:r>
      <w:hyperlink r:id="rId11">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placement out of home under the agency’s care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172.2(2)</w:t>
      </w:r>
      <w:r>
        <w:rPr>
          <w:rFonts w:ascii="Times New Roman" w:hAnsi="Times New Roman"/>
          <w:b w:val="false"/>
          <w:i w:val="false"/>
          <w:color w:val="000000"/>
          <w:sz w:val="22"/>
        </w:rPr>
        <w:t> </w:t>
      </w:r>
      <w:r>
        <w:rPr>
          <w:rFonts w:ascii="Times New Roman" w:hAnsi="Times New Roman"/>
          <w:b w:val="false"/>
          <w:i w:val="false"/>
          <w:color w:val="000000"/>
          <w:sz w:val="22"/>
        </w:rPr>
        <w:t>Family-centered services shall be designed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and build on the family’s strengths and enhance the family’s protective capacities;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Address the risk factors that affect the child’s safety, permanency, and well-being;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Strengthen family connections to community resources and informal support systems in order to promote greater self-reliance;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Remain culturally competent and respectful of the family’s cultural, ethnic, and racial identity and values.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172.2(3)</w:t>
      </w:r>
      <w:r>
        <w:rPr>
          <w:rFonts w:ascii="Times New Roman" w:hAnsi="Times New Roman"/>
          <w:b w:val="false"/>
          <w:i w:val="false"/>
          <w:color w:val="000000"/>
          <w:sz w:val="22"/>
        </w:rPr>
        <w:t> </w:t>
      </w:r>
      <w:r>
        <w:rPr>
          <w:rFonts w:ascii="Times New Roman" w:hAnsi="Times New Roman"/>
          <w:b w:val="false"/>
          <w:i w:val="false"/>
          <w:color w:val="000000"/>
          <w:sz w:val="22"/>
        </w:rPr>
        <w:t>Family-centered services shall utilize evidence-based interventions to the greatest possible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172.2(4)</w:t>
      </w:r>
      <w:r>
        <w:rPr>
          <w:rFonts w:ascii="Times New Roman" w:hAnsi="Times New Roman"/>
          <w:b w:val="false"/>
          <w:i w:val="false"/>
          <w:color w:val="000000"/>
          <w:sz w:val="22"/>
        </w:rPr>
        <w:t> </w:t>
      </w:r>
      <w:r>
        <w:rPr>
          <w:rFonts w:ascii="Times New Roman" w:hAnsi="Times New Roman"/>
          <w:b w:val="false"/>
          <w:i w:val="false"/>
          <w:color w:val="000000"/>
          <w:sz w:val="22"/>
        </w:rPr>
        <w:t>Family-centered services shall include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eligible for services under this rule, as defined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sibling of that child who resides in the same household at the time of service referral or moves into the household during the service delivery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parent, stepparent, or kinship caregiver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172.2(5)</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Family-centered services shall include SBC for agency child welfare service cases when criteria in </w:t>
      </w:r>
      <w:hyperlink r:id="rId12">
        <w:r>
          <w:rPr>
            <w:rStyle w:val="Hyperlink"/>
            <w:rFonts w:ascii="Times New Roman" w:hAnsi="Times New Roman"/>
            <w:b w:val="false"/>
            <w:i w:val="false"/>
            <w:color w:val="000000"/>
            <w:sz w:val="22"/>
          </w:rPr>
          <w:t>subrule 172.2(1)</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172.2(6)</w:t>
      </w:r>
      <w:r>
        <w:rPr>
          <w:rFonts w:ascii="Times New Roman" w:hAnsi="Times New Roman"/>
          <w:b w:val="false"/>
          <w:i w:val="false"/>
          <w:color w:val="000000"/>
          <w:sz w:val="22"/>
        </w:rPr>
        <w:t> </w:t>
      </w:r>
      <w:r>
        <w:rPr>
          <w:rFonts w:ascii="Times New Roman" w:hAnsi="Times New Roman"/>
          <w:b w:val="false"/>
          <w:i w:val="false"/>
          <w:color w:val="000000"/>
          <w:sz w:val="22"/>
        </w:rPr>
        <w:t>Based on child and family needs, a child and family with an open agency child welfare service case that are receiving SBC may also be approved to receive the following additional services, which are referred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Family preservation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Solution focused meeting (SFM) and youth transition decision-making (YTDM) meeting facilitation.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172.2(7)</w:t>
      </w:r>
      <w:r>
        <w:rPr>
          <w:rFonts w:ascii="Times New Roman" w:hAnsi="Times New Roman"/>
          <w:b w:val="false"/>
          <w:i w:val="false"/>
          <w:color w:val="000000"/>
          <w:sz w:val="22"/>
        </w:rPr>
        <w:t> </w:t>
      </w:r>
      <w:r>
        <w:rPr>
          <w:rFonts w:ascii="Times New Roman" w:hAnsi="Times New Roman"/>
          <w:b w:val="false"/>
          <w:i w:val="false"/>
          <w:color w:val="000000"/>
          <w:sz w:val="22"/>
        </w:rPr>
        <w:t>Case management. During the time that a child and the child’s family are approved to receive family-centered services on an open agency child welfare service case, the agency worker shall be responsible for maintaining contact with the child and family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factors that present risks of harm to the safety and well-being of all children in the family are being adequately addressed;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and supports are in place to achieve the child’s permanency goal.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9491B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5248C</w:t>
      </w:r>
      <w:r>
        <w:rPr>
          <w:rFonts w:ascii="Times New Roman" w:hAnsi="Times New Roman"/>
          <w:b w:val="false"/>
          <w:i w:val="false"/>
          <w:color w:val="000000"/>
          <w:sz w:val="16"/>
        </w:rPr>
        <w:t>, IAB 11/4/20, effective 1/1/21</w:t>
      </w:r>
      <w:r>
        <w:rPr>
          <w:rFonts w:ascii="Times New Roman" w:hAnsi="Times New Roman"/>
          <w:b w:val="false"/>
          <w:i w:val="false"/>
          <w:color w:val="000000"/>
          <w:sz w:val="16"/>
        </w:rPr>
        <w:t xml:space="preserve">; </w:t>
      </w:r>
      <w:r>
        <w:rPr>
          <w:rFonts w:ascii="Times New Roman" w:hAnsi="Times New Roman"/>
          <w:b/>
          <w:i w:val="false"/>
          <w:color w:val="000000"/>
          <w:sz w:val="16"/>
        </w:rPr>
        <w:t>ARC 6936C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441—172.3</w:t>
      </w:r>
      <w:r>
        <w:rPr>
          <w:rFonts w:ascii="Times New Roman" w:hAnsi="Times New Roman"/>
          <w:b/>
          <w:i w:val="false"/>
          <w:color w:val="000000"/>
          <w:sz w:val="22"/>
        </w:rPr>
        <w:t xml:space="preserve">(234) </w:t>
      </w:r>
      <w:r>
        <w:rPr>
          <w:rFonts w:ascii="Times New Roman" w:hAnsi="Times New Roman"/>
          <w:b/>
          <w:i w:val="false"/>
          <w:color w:val="000000"/>
          <w:sz w:val="22"/>
        </w:rPr>
        <w:t xml:space="preserve">Authorization. </w:t>
      </w:r>
      <w:r>
        <w:rPr>
          <w:rFonts w:ascii="Times New Roman" w:hAnsi="Times New Roman"/>
          <w:b w:val="false"/>
          <w:i w:val="false"/>
          <w:color w:val="000000"/>
          <w:sz w:val="22"/>
        </w:rPr>
        <w:t>When the agency has approved provision of family-centered services for a child and family, the agency worker shall notify the contractor by issuing the referral and authorization for child welfare services form. This authorization form shall indicate: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service category authorized;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duration of the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9491B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5248C</w:t>
      </w:r>
      <w:r>
        <w:rPr>
          <w:rFonts w:ascii="Times New Roman" w:hAnsi="Times New Roman"/>
          <w:b w:val="false"/>
          <w:i w:val="false"/>
          <w:color w:val="000000"/>
          <w:sz w:val="16"/>
        </w:rPr>
        <w:t>, IAB 11/4/20, effective 1/1/21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441—172.4</w:t>
      </w:r>
      <w:r>
        <w:rPr>
          <w:rFonts w:ascii="Times New Roman" w:hAnsi="Times New Roman"/>
          <w:b/>
          <w:i w:val="false"/>
          <w:color w:val="000000"/>
          <w:sz w:val="22"/>
        </w:rPr>
        <w:t xml:space="preserve">(234) </w:t>
      </w:r>
      <w:r>
        <w:rPr>
          <w:rFonts w:ascii="Times New Roman" w:hAnsi="Times New Roman"/>
          <w:b/>
          <w:i w:val="false"/>
          <w:color w:val="000000"/>
          <w:sz w:val="22"/>
        </w:rPr>
        <w:t xml:space="preserve">Reimbursement. </w:t>
      </w:r>
      <w:r>
        <w:rPr>
          <w:rFonts w:ascii="Times New Roman" w:hAnsi="Times New Roman"/>
          <w:b w:val="false"/>
          <w:i w:val="false"/>
          <w:color w:val="000000"/>
          <w:sz w:val="22"/>
        </w:rPr>
        <w:t xml:space="preserve">Rescinded </w:t>
      </w:r>
      <w:r>
        <w:rPr>
          <w:rFonts w:ascii="Times New Roman" w:hAnsi="Times New Roman"/>
          <w:b/>
          <w:i w:val="false"/>
          <w:color w:val="000000"/>
          <w:sz w:val="22"/>
        </w:rPr>
        <w:t>ARC 5248C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11/4/20</w:t>
      </w:r>
      <w:r>
        <w:rPr>
          <w:rFonts w:ascii="Times New Roman" w:hAnsi="Times New Roman"/>
          <w:b w:val="false"/>
          <w:i w:val="false"/>
          <w:color w:val="000000"/>
          <w:sz w:val="22"/>
        </w:rPr>
        <w:t xml:space="preserve">, effective 1/1/21. </w:t>
      </w:r>
    </w:p>
    <w:p>
      <w:pPr>
        <w:spacing w:before="0" w:after="0"/>
        <w:ind w:left="120"/>
        <w:jc w:val="both"/>
      </w:pPr>
      <w:r>
        <w:rPr>
          <w:rFonts w:ascii="Times New Roman" w:hAnsi="Times New Roman"/>
          <w:b/>
          <w:i w:val="false"/>
          <w:color w:val="000000"/>
          <w:sz w:val="22"/>
        </w:rPr>
        <w:t>441—172.5</w:t>
      </w:r>
      <w:r>
        <w:rPr>
          <w:rFonts w:ascii="Times New Roman" w:hAnsi="Times New Roman"/>
          <w:b/>
          <w:i w:val="false"/>
          <w:color w:val="000000"/>
          <w:sz w:val="22"/>
        </w:rPr>
        <w:t xml:space="preserve">(234) </w:t>
      </w:r>
      <w:r>
        <w:rPr>
          <w:rFonts w:ascii="Times New Roman" w:hAnsi="Times New Roman"/>
          <w:b/>
          <w:i w:val="false"/>
          <w:color w:val="000000"/>
          <w:sz w:val="22"/>
        </w:rPr>
        <w:t xml:space="preserve">Client appeals. </w:t>
      </w:r>
      <w:r>
        <w:rPr>
          <w:rFonts w:ascii="Times New Roman" w:hAnsi="Times New Roman"/>
          <w:b w:val="false"/>
          <w:i w:val="false"/>
          <w:color w:val="000000"/>
          <w:sz w:val="22"/>
        </w:rPr>
        <w:t xml:space="preserve">Clients may appeal the agency’s decision pursuant to </w:t>
      </w:r>
      <w:hyperlink r:id="rId1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client’s application for services as described in this chapter is denied,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services are terminated.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9491B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441—172.6</w:t>
      </w:r>
      <w:r>
        <w:rPr>
          <w:rFonts w:ascii="Times New Roman" w:hAnsi="Times New Roman"/>
          <w:b/>
          <w:i w:val="false"/>
          <w:color w:val="000000"/>
          <w:sz w:val="22"/>
        </w:rPr>
        <w:t xml:space="preserve">(234) </w:t>
      </w:r>
      <w:r>
        <w:rPr>
          <w:rFonts w:ascii="Times New Roman" w:hAnsi="Times New Roman"/>
          <w:b/>
          <w:i w:val="false"/>
          <w:color w:val="000000"/>
          <w:sz w:val="22"/>
        </w:rPr>
        <w:t xml:space="preserve">Reviews and audits.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5248C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11/4/20</w:t>
      </w:r>
      <w:r>
        <w:rPr>
          <w:rFonts w:ascii="Times New Roman" w:hAnsi="Times New Roman"/>
          <w:b w:val="false"/>
          <w:i w:val="false"/>
          <w:color w:val="000000"/>
          <w:sz w:val="22"/>
        </w:rPr>
        <w:t xml:space="preserve">, effective 1/1/21. </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5/16/07, Notice 1/31/07—published 6/6/07, effective 10/1/07]</w:t>
      </w:r>
    </w:p>
    <w:p>
      <w:pPr>
        <w:spacing w:before="0" w:after="0"/>
        <w:ind w:left="120"/>
        <w:jc w:val="center"/>
      </w:pPr>
      <w:r>
        <w:rPr>
          <w:rFonts w:ascii="Times New Roman" w:hAnsi="Times New Roman"/>
          <w:b w:val="false"/>
          <w:i w:val="false"/>
          <w:color w:val="000000"/>
          <w:sz w:val="21"/>
        </w:rPr>
        <w:t>[Filed emergency 11/14/07—published 12/5/07, effective 11/15/07]</w:t>
      </w:r>
    </w:p>
    <w:p>
      <w:pPr>
        <w:spacing w:before="0" w:after="0"/>
        <w:ind w:left="120"/>
        <w:jc w:val="center"/>
      </w:pPr>
      <w:r>
        <w:rPr>
          <w:rFonts w:ascii="Times New Roman" w:hAnsi="Times New Roman"/>
          <w:b w:val="false"/>
          <w:i w:val="false"/>
          <w:color w:val="000000"/>
          <w:sz w:val="21"/>
        </w:rPr>
        <w:t>[Filed 2/13/08, Notice 12/5/07—published 3/12/08, effective 4/16/08]</w:t>
      </w:r>
    </w:p>
    <w:p>
      <w:pPr>
        <w:spacing w:before="0" w:after="0"/>
        <w:ind w:left="120"/>
        <w:jc w:val="center"/>
      </w:pPr>
      <w:r>
        <w:rPr>
          <w:rFonts w:ascii="Times New Roman" w:hAnsi="Times New Roman"/>
          <w:b w:val="false"/>
          <w:i w:val="false"/>
          <w:color w:val="000000"/>
          <w:sz w:val="21"/>
        </w:rPr>
        <w:t>[Filed ARC 9491B</w:t>
      </w:r>
      <w:r>
        <w:rPr>
          <w:rFonts w:ascii="Times New Roman" w:hAnsi="Times New Roman"/>
          <w:b w:val="false"/>
          <w:i w:val="false"/>
          <w:color w:val="000000"/>
          <w:sz w:val="21"/>
        </w:rPr>
        <w:t xml:space="preserve"> (Notice ARC 9353B, IAB 2/9/11)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1156C</w:t>
      </w:r>
      <w:r>
        <w:rPr>
          <w:rFonts w:ascii="Times New Roman" w:hAnsi="Times New Roman"/>
          <w:b w:val="false"/>
          <w:i w:val="false"/>
          <w:color w:val="000000"/>
          <w:sz w:val="21"/>
        </w:rPr>
        <w:t xml:space="preserve"> (Notice ARC 0915C,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2885C</w:t>
      </w:r>
      <w:r>
        <w:rPr>
          <w:rFonts w:ascii="Times New Roman" w:hAnsi="Times New Roman"/>
          <w:b w:val="false"/>
          <w:i w:val="false"/>
          <w:color w:val="000000"/>
          <w:sz w:val="21"/>
        </w:rPr>
        <w:t xml:space="preserve"> (Notice ARC 2771C, IAB 10/12/16)</w:t>
      </w:r>
      <w:r>
        <w:rPr>
          <w:rFonts w:ascii="Times New Roman" w:hAnsi="Times New Roman"/>
          <w:b w:val="false"/>
          <w:i w:val="false"/>
          <w:color w:val="000000"/>
          <w:sz w:val="21"/>
        </w:rPr>
        <w:t>, IAB 1/4/17, effective 3/1/17]</w:t>
      </w:r>
    </w:p>
    <w:p>
      <w:pPr>
        <w:spacing w:before="0" w:after="0"/>
        <w:ind w:left="120"/>
        <w:jc w:val="center"/>
      </w:pPr>
      <w:r>
        <w:rPr>
          <w:rFonts w:ascii="Times New Roman" w:hAnsi="Times New Roman"/>
          <w:b w:val="false"/>
          <w:i w:val="false"/>
          <w:color w:val="000000"/>
          <w:sz w:val="21"/>
        </w:rPr>
        <w:t>[Filed ARC 5248C</w:t>
      </w:r>
      <w:r>
        <w:rPr>
          <w:rFonts w:ascii="Times New Roman" w:hAnsi="Times New Roman"/>
          <w:b w:val="false"/>
          <w:i w:val="false"/>
          <w:color w:val="000000"/>
          <w:sz w:val="21"/>
        </w:rPr>
        <w:t xml:space="preserve"> (Notice ARC 5131C, IAB 8/12/20)</w:t>
      </w:r>
      <w:r>
        <w:rPr>
          <w:rFonts w:ascii="Times New Roman" w:hAnsi="Times New Roman"/>
          <w:b w:val="false"/>
          <w:i w:val="false"/>
          <w:color w:val="000000"/>
          <w:sz w:val="21"/>
        </w:rPr>
        <w:t>, IAB 11/4/20, effective 1/1/21]</w:t>
      </w:r>
    </w:p>
    <w:p>
      <w:pPr>
        <w:spacing w:before="0" w:after="0"/>
        <w:ind w:left="120"/>
        <w:jc w:val="center"/>
      </w:pPr>
      <w:r>
        <w:rPr>
          <w:rFonts w:ascii="Times New Roman" w:hAnsi="Times New Roman"/>
          <w:b w:val="false"/>
          <w:i w:val="false"/>
          <w:color w:val="000000"/>
          <w:sz w:val="21"/>
        </w:rPr>
        <w:t>[Filed ARC 6936C</w:t>
      </w:r>
      <w:r>
        <w:rPr>
          <w:rFonts w:ascii="Times New Roman" w:hAnsi="Times New Roman"/>
          <w:b w:val="false"/>
          <w:i w:val="false"/>
          <w:color w:val="000000"/>
          <w:sz w:val="21"/>
        </w:rPr>
        <w:t xml:space="preserve"> (Notice ARC 6768C, IAB 12/28/22)</w:t>
      </w:r>
      <w:r>
        <w:rPr>
          <w:rFonts w:ascii="Times New Roman" w:hAnsi="Times New Roman"/>
          <w:b w:val="false"/>
          <w:i w:val="false"/>
          <w:color w:val="000000"/>
          <w:sz w:val="21"/>
        </w:rPr>
        <w:t>, IAB 3/8/23, effective 5/1/23]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4.1.pdf" Type="http://schemas.openxmlformats.org/officeDocument/2006/relationships/hyperlink" Id="rId5"/>
    <Relationship TargetMode="External" Target="https://www.legis.iowa.gov/docs/ico/chapter/232.68.pdf" Type="http://schemas.openxmlformats.org/officeDocument/2006/relationships/hyperlink" Id="rId6"/>
    <Relationship TargetMode="External" Target="https://www.legis.iowa.gov/docs/ico/chapter/232.68.pdf" Type="http://schemas.openxmlformats.org/officeDocument/2006/relationships/hyperlink" Id="rId7"/>
    <Relationship TargetMode="External" Target="https://www.legis.iowa.gov/docs/ico/chapter/232.68.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co/chapter/232.68.pdf" Type="http://schemas.openxmlformats.org/officeDocument/2006/relationships/hyperlink" Id="rId10"/>
    <Relationship TargetMode="External" Target="https://www.legis.iowa.gov/docs/ico/chapter/232.2.pdf" Type="http://schemas.openxmlformats.org/officeDocument/2006/relationships/hyperlink" Id="rId11"/>
    <Relationship TargetMode="External" Target="https://www.legis.iowa.gov/docs/iac/rule/441.172.2.pdf" Type="http://schemas.openxmlformats.org/officeDocument/2006/relationships/hyperlink" Id="rId12"/>
    <Relationship TargetMode="External" Target="https://www.legis.iowa.gov/docs/iac/chapter/441.7.pdf" Type="http://schemas.openxmlformats.org/officeDocument/2006/relationships/hyperlink" Id="rId13"/>
    <Relationship TargetMode="External" Target="https://www.legis.iowa.gov/docs/ico/chapter/234.6.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