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158</w:t>
      </w:r>
    </w:p>
    <w:p>
      <w:pPr>
        <w:spacing w:before="0" w:after="0"/>
        <w:ind w:left="120"/>
        <w:jc w:val="center"/>
      </w:pPr>
      <w:r>
        <w:rPr>
          <w:rFonts w:ascii="Times New Roman" w:hAnsi="Times New Roman"/>
          <w:b w:val="false"/>
          <w:i w:val="false"/>
          <w:color w:val="000000"/>
          <w:sz w:val="21"/>
        </w:rPr>
        <w:t>FOSTER HOME INSURANCE FUND</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These rules implement the provisions of the foster home insurance fund. These rules define eligible claims, the payment limits for claims, the procedure for filing claims, and the time frames for filing claims.</w:t>
      </w:r>
    </w:p>
    <w:p>
      <w:pPr>
        <w:spacing w:before="0" w:after="0"/>
        <w:ind w:left="120"/>
        <w:jc w:val="both"/>
      </w:pPr>
      <w:r>
        <w:rPr>
          <w:rFonts w:ascii="Times New Roman" w:hAnsi="Times New Roman"/>
          <w:b/>
          <w:i w:val="false"/>
          <w:color w:val="000000"/>
          <w:sz w:val="22"/>
        </w:rPr>
        <w:t>441—158.1</w:t>
      </w:r>
      <w:r>
        <w:rPr>
          <w:rFonts w:ascii="Times New Roman" w:hAnsi="Times New Roman"/>
          <w:b/>
          <w:i w:val="false"/>
          <w:color w:val="000000"/>
          <w:sz w:val="22"/>
        </w:rPr>
        <w:t xml:space="preserve">(237)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This chapter specifically relates to the foster home insurance fund established by Iowa Code section </w:t>
      </w:r>
      <w:hyperlink r:id="rId5">
        <w:r>
          <w:rPr>
            <w:rStyle w:val="Hyperlink"/>
            <w:rFonts w:ascii="Times New Roman" w:hAnsi="Times New Roman"/>
            <w:b w:val="false"/>
            <w:i w:val="false"/>
            <w:color w:val="000000"/>
            <w:sz w:val="22"/>
          </w:rPr>
          <w:t>237.13</w:t>
        </w:r>
      </w:hyperlink>
      <w:r>
        <w:rPr>
          <w:rFonts w:ascii="Times New Roman" w:hAnsi="Times New Roman"/>
          <w:b w:val="false"/>
          <w:i w:val="false"/>
          <w:color w:val="000000"/>
          <w:sz w:val="22"/>
        </w:rPr>
        <w:t>. A foster home insurance fund shall be developed by the department. The fund shall provide reimbursement for any property damages caused by the acts of a foster child residing in a foster home. The department may contract with another state agency or private organization to perform the administrative functions necessary to carry out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5890C</w:t>
      </w:r>
      <w:r>
        <w:rPr>
          <w:rFonts w:ascii="Times New Roman" w:hAnsi="Times New Roman"/>
          <w:b w:val="false"/>
          <w:i w:val="false"/>
          <w:color w:val="000000"/>
          <w:sz w:val="16"/>
        </w:rPr>
        <w:t>, IAB 9/8/21, effective 11/1/21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441—158.2</w:t>
      </w:r>
      <w:r>
        <w:rPr>
          <w:rFonts w:ascii="Times New Roman" w:hAnsi="Times New Roman"/>
          <w:b/>
          <w:i w:val="false"/>
          <w:color w:val="000000"/>
          <w:sz w:val="22"/>
        </w:rPr>
        <w:t xml:space="preserve">(237)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“Foster family home”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“licensed foster home” </w:t>
      </w:r>
      <w:r>
        <w:rPr>
          <w:rFonts w:ascii="Times New Roman" w:hAnsi="Times New Roman"/>
          <w:b w:val="false"/>
          <w:i w:val="false"/>
          <w:color w:val="000000"/>
          <w:sz w:val="22"/>
        </w:rPr>
        <w:t xml:space="preserve">means an individual, as defined in Iowa Code section </w:t>
      </w:r>
      <w:hyperlink r:id="rId6">
        <w:r>
          <w:rPr>
            <w:rStyle w:val="Hyperlink"/>
            <w:rFonts w:ascii="Times New Roman" w:hAnsi="Times New Roman"/>
            <w:b w:val="false"/>
            <w:i w:val="false"/>
            <w:color w:val="000000"/>
            <w:sz w:val="22"/>
          </w:rPr>
          <w:t>237.1(7)</w:t>
        </w:r>
      </w:hyperlink>
      <w:r>
        <w:rPr>
          <w:rFonts w:ascii="Times New Roman" w:hAnsi="Times New Roman"/>
          <w:b w:val="false"/>
          <w:i w:val="false"/>
          <w:color w:val="000000"/>
          <w:sz w:val="22"/>
        </w:rPr>
        <w:t>, who is licensed to provide child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 property” </w:t>
      </w:r>
      <w:r>
        <w:rPr>
          <w:rFonts w:ascii="Times New Roman" w:hAnsi="Times New Roman"/>
          <w:b w:val="false"/>
          <w:i w:val="false"/>
          <w:color w:val="000000"/>
          <w:sz w:val="22"/>
        </w:rPr>
        <w:t>means any movable thing of value which is owned, rented, or leased by a person and not recognized as real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“Real property” </w:t>
      </w:r>
      <w:r>
        <w:rPr>
          <w:rFonts w:ascii="Times New Roman" w:hAnsi="Times New Roman"/>
          <w:b w:val="false"/>
          <w:i w:val="false"/>
          <w:color w:val="000000"/>
          <w:sz w:val="22"/>
        </w:rPr>
        <w:t>means anything owned, leased, or rented which is permanently affixed to, or built upon, a piece of land. Real property is best characterized as property that does not move or that is attached to the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“Third-party property” </w:t>
      </w:r>
      <w:r>
        <w:rPr>
          <w:rFonts w:ascii="Times New Roman" w:hAnsi="Times New Roman"/>
          <w:b w:val="false"/>
          <w:i w:val="false"/>
          <w:color w:val="000000"/>
          <w:sz w:val="22"/>
        </w:rPr>
        <w:t>means property belonging to any person or entity other than the foster family or foster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5890C</w:t>
      </w:r>
      <w:r>
        <w:rPr>
          <w:rFonts w:ascii="Times New Roman" w:hAnsi="Times New Roman"/>
          <w:b w:val="false"/>
          <w:i w:val="false"/>
          <w:color w:val="000000"/>
          <w:sz w:val="16"/>
        </w:rPr>
        <w:t>, IAB 9/8/21, effective 11/1/21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441—158.3</w:t>
      </w:r>
      <w:r>
        <w:rPr>
          <w:rFonts w:ascii="Times New Roman" w:hAnsi="Times New Roman"/>
          <w:b/>
          <w:i w:val="false"/>
          <w:color w:val="000000"/>
          <w:sz w:val="22"/>
        </w:rPr>
        <w:t xml:space="preserve">(237) </w:t>
      </w:r>
      <w:r>
        <w:rPr>
          <w:rFonts w:ascii="Times New Roman" w:hAnsi="Times New Roman"/>
          <w:b/>
          <w:i w:val="false"/>
          <w:color w:val="000000"/>
          <w:sz w:val="22"/>
        </w:rPr>
        <w:t xml:space="preserve">Payments from the foster home insurance 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158.3(1)</w:t>
      </w:r>
      <w:r>
        <w:rPr>
          <w:rFonts w:ascii="Times New Roman" w:hAnsi="Times New Roman"/>
          <w:b w:val="false"/>
          <w:i w:val="false"/>
          <w:color w:val="000000"/>
          <w:sz w:val="22"/>
        </w:rPr>
        <w:t> </w:t>
      </w:r>
      <w:r>
        <w:rPr>
          <w:rFonts w:ascii="Times New Roman" w:hAnsi="Times New Roman"/>
          <w:b w:val="false"/>
          <w:i/>
          <w:color w:val="000000"/>
          <w:sz w:val="22"/>
        </w:rPr>
        <w:t xml:space="preserve">Eligible foster family claims. </w:t>
      </w:r>
      <w:r>
        <w:rPr>
          <w:rFonts w:ascii="Times New Roman" w:hAnsi="Times New Roman"/>
          <w:b w:val="false"/>
          <w:i w:val="false"/>
          <w:color w:val="000000"/>
          <w:sz w:val="22"/>
        </w:rPr>
        <w:t xml:space="preserve">The foster home insurance fund shall pay the following within the limits defined in Iowa Code section </w:t>
      </w:r>
      <w:hyperlink r:id="rId7">
        <w:r>
          <w:rPr>
            <w:rStyle w:val="Hyperlink"/>
            <w:rFonts w:ascii="Times New Roman" w:hAnsi="Times New Roman"/>
            <w:b w:val="false"/>
            <w:i w:val="false"/>
            <w:color w:val="000000"/>
            <w:sz w:val="22"/>
          </w:rPr>
          <w:t>237.13(2)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Valid and approved claims of a licensed foster family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Compensation to licensed foster families for personal or real property damage and auto physical damage as a result of the activities of the family foster care child. Coverage also extends to third-party property damages caused by actions of the foster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Non-property-based liability, bodily injury, sexual abuse or molestation, auto liability, and professional liability are not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158.3(2)</w:t>
      </w:r>
      <w:r>
        <w:rPr>
          <w:rFonts w:ascii="Times New Roman" w:hAnsi="Times New Roman"/>
          <w:b w:val="false"/>
          <w:i w:val="false"/>
          <w:color w:val="000000"/>
          <w:sz w:val="22"/>
        </w:rPr>
        <w:t> </w:t>
      </w:r>
      <w:r>
        <w:rPr>
          <w:rFonts w:ascii="Times New Roman" w:hAnsi="Times New Roman"/>
          <w:b w:val="false"/>
          <w:i/>
          <w:color w:val="000000"/>
          <w:sz w:val="22"/>
        </w:rPr>
        <w:t xml:space="preserve">Eligible guardian and conservator claims.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10/5/11</w:t>
      </w:r>
      <w:r>
        <w:rPr>
          <w:rFonts w:ascii="Times New Roman" w:hAnsi="Times New Roman"/>
          <w:b w:val="false"/>
          <w:i w:val="false"/>
          <w:color w:val="000000"/>
          <w:sz w:val="22"/>
        </w:rPr>
        <w:t>, effective 11/9/11.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9779B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5890C</w:t>
      </w:r>
      <w:r>
        <w:rPr>
          <w:rFonts w:ascii="Times New Roman" w:hAnsi="Times New Roman"/>
          <w:b w:val="false"/>
          <w:i w:val="false"/>
          <w:color w:val="000000"/>
          <w:sz w:val="16"/>
        </w:rPr>
        <w:t>, IAB 9/8/21, effective 11/1/21</w:t>
      </w:r>
      <w:r>
        <w:rPr>
          <w:rFonts w:ascii="Times New Roman" w:hAnsi="Times New Roman"/>
          <w:b w:val="false"/>
          <w:i w:val="false"/>
          <w:color w:val="000000"/>
          <w:sz w:val="16"/>
        </w:rPr>
        <w:t xml:space="preserve">; </w:t>
      </w:r>
      <w:r>
        <w:rPr>
          <w:rFonts w:ascii="Times New Roman" w:hAnsi="Times New Roman"/>
          <w:b/>
          <w:i w:val="false"/>
          <w:color w:val="000000"/>
          <w:sz w:val="16"/>
        </w:rPr>
        <w:t>ARC 6441C</w:t>
      </w:r>
      <w:r>
        <w:rPr>
          <w:rFonts w:ascii="Times New Roman" w:hAnsi="Times New Roman"/>
          <w:b w:val="false"/>
          <w:i w:val="false"/>
          <w:color w:val="000000"/>
          <w:sz w:val="16"/>
        </w:rPr>
        <w:t>, IAB 8/10/22, effective 10/1/22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441—158.4</w:t>
      </w:r>
      <w:r>
        <w:rPr>
          <w:rFonts w:ascii="Times New Roman" w:hAnsi="Times New Roman"/>
          <w:b/>
          <w:i w:val="false"/>
          <w:color w:val="000000"/>
          <w:sz w:val="22"/>
        </w:rPr>
        <w:t xml:space="preserve">(237) </w:t>
      </w:r>
      <w:r>
        <w:rPr>
          <w:rFonts w:ascii="Times New Roman" w:hAnsi="Times New Roman"/>
          <w:b/>
          <w:i w:val="false"/>
          <w:color w:val="000000"/>
          <w:sz w:val="22"/>
        </w:rPr>
        <w:t xml:space="preserve">Payment limits. </w:t>
      </w:r>
      <w:r>
        <w:rPr>
          <w:rFonts w:ascii="Times New Roman" w:hAnsi="Times New Roman"/>
          <w:b w:val="false"/>
          <w:i w:val="false"/>
          <w:color w:val="000000"/>
          <w:sz w:val="22"/>
        </w:rPr>
        <w:t>The fund is not liable for the first $150 per claim deductible per family. Each claim shall be limited to one incident/occurrence. The fund is not liable for damages in excess of $5,000 for all claims arising out of one or more occurrences during a fiscal year related to a single home. Claims for losses related to bedbugs or other insect infestations will have an annual sublimit set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9779B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5890C</w:t>
      </w:r>
      <w:r>
        <w:rPr>
          <w:rFonts w:ascii="Times New Roman" w:hAnsi="Times New Roman"/>
          <w:b w:val="false"/>
          <w:i w:val="false"/>
          <w:color w:val="000000"/>
          <w:sz w:val="16"/>
        </w:rPr>
        <w:t>, IAB 9/8/21, effective 11/1/21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441—158.5</w:t>
      </w:r>
      <w:r>
        <w:rPr>
          <w:rFonts w:ascii="Times New Roman" w:hAnsi="Times New Roman"/>
          <w:b/>
          <w:i w:val="false"/>
          <w:color w:val="000000"/>
          <w:sz w:val="22"/>
        </w:rPr>
        <w:t xml:space="preserve">(237) </w:t>
      </w:r>
      <w:r>
        <w:rPr>
          <w:rFonts w:ascii="Times New Roman" w:hAnsi="Times New Roman"/>
          <w:b/>
          <w:i w:val="false"/>
          <w:color w:val="000000"/>
          <w:sz w:val="22"/>
        </w:rPr>
        <w:t xml:space="preserve">Claim procedures. </w:t>
      </w:r>
      <w:r>
        <w:rPr>
          <w:rFonts w:ascii="Times New Roman" w:hAnsi="Times New Roman"/>
          <w:b w:val="false"/>
          <w:i w:val="false"/>
          <w:color w:val="000000"/>
          <w:sz w:val="22"/>
        </w:rPr>
        <w:t>Claims against the fund shall be filed with the department’s contractor. Claims shall be filed on Form 470-5659, Foster Home Property Fund Notice of Loss Form. The decision to approve or deny the claim shall be made and the notice mailed or given to the claimant within 180 days of the date the claim is received.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5890C</w:t>
      </w:r>
      <w:r>
        <w:rPr>
          <w:rFonts w:ascii="Times New Roman" w:hAnsi="Times New Roman"/>
          <w:b w:val="false"/>
          <w:i w:val="false"/>
          <w:color w:val="000000"/>
          <w:sz w:val="16"/>
        </w:rPr>
        <w:t>, IAB 9/8/21, effective 11/1/21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441—158.6</w:t>
      </w:r>
      <w:r>
        <w:rPr>
          <w:rFonts w:ascii="Times New Roman" w:hAnsi="Times New Roman"/>
          <w:b/>
          <w:i w:val="false"/>
          <w:color w:val="000000"/>
          <w:sz w:val="22"/>
        </w:rPr>
        <w:t xml:space="preserve">(237) </w:t>
      </w:r>
      <w:r>
        <w:rPr>
          <w:rFonts w:ascii="Times New Roman" w:hAnsi="Times New Roman"/>
          <w:b/>
          <w:i w:val="false"/>
          <w:color w:val="000000"/>
          <w:sz w:val="22"/>
        </w:rPr>
        <w:t xml:space="preserve">Time frames for filing claims. </w:t>
      </w:r>
    </w:p>
    <w:p>
      <w:pPr>
        <w:spacing w:before="0" w:after="0"/>
        <w:ind w:left="120"/>
        <w:jc w:val="both"/>
      </w:pPr>
      <w:r>
        <w:rPr>
          <w:rFonts w:ascii="Times New Roman" w:hAnsi="Times New Roman"/>
          <w:b w:val="false"/>
          <w:i w:val="false"/>
          <w:color w:val="000000"/>
          <w:sz w:val="22"/>
        </w:rPr>
        <w:t>Claims by children who were under the age of 18 at the time of the occurrence shall be submitted within six months of the date of the occurrence.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9779B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5890C</w:t>
      </w:r>
      <w:r>
        <w:rPr>
          <w:rFonts w:ascii="Times New Roman" w:hAnsi="Times New Roman"/>
          <w:b w:val="false"/>
          <w:i w:val="false"/>
          <w:color w:val="000000"/>
          <w:sz w:val="16"/>
        </w:rPr>
        <w:t>, IAB 9/8/21, effective 11/1/21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441—158.7</w:t>
      </w:r>
      <w:r>
        <w:rPr>
          <w:rFonts w:ascii="Times New Roman" w:hAnsi="Times New Roman"/>
          <w:b/>
          <w:i w:val="false"/>
          <w:color w:val="000000"/>
          <w:sz w:val="22"/>
        </w:rPr>
        <w:t xml:space="preserve">(237)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Claimants dissatisfied with the decision may request a fair hearing under the provisions of </w:t>
      </w:r>
      <w:hyperlink r:id="rId8">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5890C</w:t>
      </w:r>
      <w:r>
        <w:rPr>
          <w:rFonts w:ascii="Times New Roman" w:hAnsi="Times New Roman"/>
          <w:b w:val="false"/>
          <w:i w:val="false"/>
          <w:color w:val="000000"/>
          <w:sz w:val="16"/>
        </w:rPr>
        <w:t>, IAB 9/8/21, effective 11/1/21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237.13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House File 891</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9/2/88, Notice 6/29/88—published 9/21/88, effective 11/1/88]</w:t>
      </w:r>
    </w:p>
    <w:p>
      <w:pPr>
        <w:spacing w:before="0" w:after="0"/>
        <w:ind w:left="120"/>
        <w:jc w:val="center"/>
      </w:pPr>
      <w:r>
        <w:rPr>
          <w:rFonts w:ascii="Times New Roman" w:hAnsi="Times New Roman"/>
          <w:b w:val="false"/>
          <w:i w:val="false"/>
          <w:color w:val="000000"/>
          <w:sz w:val="21"/>
        </w:rPr>
        <w:t>[Filed 11/9/94, Notice 9/28/94—published 12/7/94, effective 2/1/95]</w:t>
      </w:r>
    </w:p>
    <w:p>
      <w:pPr>
        <w:spacing w:before="0" w:after="0"/>
        <w:ind w:left="120"/>
        <w:jc w:val="center"/>
      </w:pPr>
      <w:r>
        <w:rPr>
          <w:rFonts w:ascii="Times New Roman" w:hAnsi="Times New Roman"/>
          <w:b w:val="false"/>
          <w:i w:val="false"/>
          <w:color w:val="000000"/>
          <w:sz w:val="21"/>
        </w:rPr>
        <w:t>[Filed 8/12/99, Notice 6/16/99—published 9/8/99, effective 11/1/99]</w:t>
      </w:r>
    </w:p>
    <w:p>
      <w:pPr>
        <w:spacing w:before="0" w:after="0"/>
        <w:ind w:left="120"/>
        <w:jc w:val="center"/>
      </w:pPr>
      <w:r>
        <w:rPr>
          <w:rFonts w:ascii="Times New Roman" w:hAnsi="Times New Roman"/>
          <w:b w:val="false"/>
          <w:i w:val="false"/>
          <w:color w:val="000000"/>
          <w:sz w:val="21"/>
        </w:rPr>
        <w:t>[Filed ARC 9779B</w:t>
      </w:r>
      <w:r>
        <w:rPr>
          <w:rFonts w:ascii="Times New Roman" w:hAnsi="Times New Roman"/>
          <w:b w:val="false"/>
          <w:i w:val="false"/>
          <w:color w:val="000000"/>
          <w:sz w:val="21"/>
        </w:rPr>
        <w:t xml:space="preserve"> (Notice ARC 9636B, IAB 7/27/11)</w:t>
      </w:r>
      <w:r>
        <w:rPr>
          <w:rFonts w:ascii="Times New Roman" w:hAnsi="Times New Roman"/>
          <w:b w:val="false"/>
          <w:i w:val="false"/>
          <w:color w:val="000000"/>
          <w:sz w:val="21"/>
        </w:rPr>
        <w:t>, IAB 10/5/11, effective 11/9/11]</w:t>
      </w:r>
    </w:p>
    <w:p>
      <w:pPr>
        <w:spacing w:before="0" w:after="0"/>
        <w:ind w:left="120"/>
        <w:jc w:val="center"/>
      </w:pPr>
      <w:r>
        <w:rPr>
          <w:rFonts w:ascii="Times New Roman" w:hAnsi="Times New Roman"/>
          <w:b w:val="false"/>
          <w:i w:val="false"/>
          <w:color w:val="000000"/>
          <w:sz w:val="21"/>
        </w:rPr>
        <w:t>[Filed ARC 5890C</w:t>
      </w:r>
      <w:r>
        <w:rPr>
          <w:rFonts w:ascii="Times New Roman" w:hAnsi="Times New Roman"/>
          <w:b w:val="false"/>
          <w:i w:val="false"/>
          <w:color w:val="000000"/>
          <w:sz w:val="21"/>
        </w:rPr>
        <w:t xml:space="preserve"> (Notice ARC 5707C, IAB 6/16/21)</w:t>
      </w:r>
      <w:r>
        <w:rPr>
          <w:rFonts w:ascii="Times New Roman" w:hAnsi="Times New Roman"/>
          <w:b w:val="false"/>
          <w:i w:val="false"/>
          <w:color w:val="000000"/>
          <w:sz w:val="21"/>
        </w:rPr>
        <w:t>, IAB 9/8/21, effective 11/1/21]</w:t>
      </w:r>
    </w:p>
    <w:p>
      <w:pPr>
        <w:spacing w:before="0" w:after="0"/>
        <w:ind w:left="120"/>
        <w:jc w:val="center"/>
      </w:pPr>
      <w:r>
        <w:rPr>
          <w:rFonts w:ascii="Times New Roman" w:hAnsi="Times New Roman"/>
          <w:b w:val="false"/>
          <w:i w:val="false"/>
          <w:color w:val="000000"/>
          <w:sz w:val="21"/>
        </w:rPr>
        <w:t>[Filed ARC 6441C</w:t>
      </w:r>
      <w:r>
        <w:rPr>
          <w:rFonts w:ascii="Times New Roman" w:hAnsi="Times New Roman"/>
          <w:b w:val="false"/>
          <w:i w:val="false"/>
          <w:color w:val="000000"/>
          <w:sz w:val="21"/>
        </w:rPr>
        <w:t xml:space="preserve"> (Notice ARC 6329C, IAB 5/18/22)</w:t>
      </w:r>
      <w:r>
        <w:rPr>
          <w:rFonts w:ascii="Times New Roman" w:hAnsi="Times New Roman"/>
          <w:b w:val="false"/>
          <w:i w:val="false"/>
          <w:color w:val="000000"/>
          <w:sz w:val="21"/>
        </w:rPr>
        <w:t>, IAB 8/10/22, effective 10/1/22]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7.13.pdf" Type="http://schemas.openxmlformats.org/officeDocument/2006/relationships/hyperlink" Id="rId5"/>
    <Relationship TargetMode="External" Target="https://www.legis.iowa.gov/docs/ico/chapter/237.1.pdf" Type="http://schemas.openxmlformats.org/officeDocument/2006/relationships/hyperlink" Id="rId6"/>
    <Relationship TargetMode="External" Target="https://www.legis.iowa.gov/docs/ico/chapter/237.13.pdf" Type="http://schemas.openxmlformats.org/officeDocument/2006/relationships/hyperlink" Id="rId7"/>
    <Relationship TargetMode="External" Target="https://www.legis.iowa.gov/docs/iac/chapter/441.7.pdf" Type="http://schemas.openxmlformats.org/officeDocument/2006/relationships/hyperlink" Id="rId8"/>
    <Relationship TargetMode="External" Target="https://www.legis.iowa.gov/docs/ico/chapter/237.13.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