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VISION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641—52.1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(17A,124,147,152).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“Autorefractor” </w:t>
      </w:r>
      <w:r>
        <w:rPr>
          <w:rFonts w:ascii="Times New Roman" w:hAnsi="Times New Roman"/>
          <w:b w:val="false"/>
          <w:i w:val="false"/>
          <w:color w:val="000000"/>
          <w:sz w:val="22"/>
        </w:rPr>
        <w:t>means a method of vision screening involving skiascopy methods or wave-front technology to evaluate the refractive error of each eye. Depending on the autorefractor being used, this method allows for immediate results interpreted by the operator or the instrument as a pass or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organization” </w:t>
      </w:r>
      <w:r>
        <w:rPr>
          <w:rFonts w:ascii="Times New Roman" w:hAnsi="Times New Roman"/>
          <w:b w:val="false"/>
          <w:i w:val="false"/>
          <w:color w:val="000000"/>
          <w:sz w:val="22"/>
        </w:rPr>
        <w:t>means a public or private nonprofit organization of demonstrated effectiveness that is representative of a community or significant segments of a community and that provides educational or related services to individuals in the community that include utilizing approved age-appropriate, acceptable child vision screening tests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eye examination” </w:t>
      </w:r>
      <w:r>
        <w:rPr>
          <w:rFonts w:ascii="Times New Roman" w:hAnsi="Times New Roman"/>
          <w:b w:val="false"/>
          <w:i w:val="false"/>
          <w:color w:val="000000"/>
          <w:sz w:val="22"/>
        </w:rPr>
        <w:t>means a clinical diagnostic assessment performed by an optometrist or ophthalmologist to assess a person’s level of vision and to detect any abnormality or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an Iowa public or accredited nonpublic school that a kindergarten or third grade student would attend.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KidSight” </w:t>
      </w:r>
      <w:r>
        <w:rPr>
          <w:rFonts w:ascii="Times New Roman" w:hAnsi="Times New Roman"/>
          <w:b w:val="false"/>
          <w:i w:val="false"/>
          <w:color w:val="000000"/>
          <w:sz w:val="22"/>
        </w:rPr>
        <w:t>means a joint project of the lions clubs of Iowa and the university of Iowa, department of ophthalmology and visual sciences, dedicated to enhancing the early detection and treatment of vision impairments in Iowa’s young children (target population six months of age through kindergarten age) through screening and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“IRIS” </w:t>
      </w:r>
      <w:r>
        <w:rPr>
          <w:rFonts w:ascii="Times New Roman" w:hAnsi="Times New Roman"/>
          <w:b w:val="false"/>
          <w:i w:val="false"/>
          <w:color w:val="000000"/>
          <w:sz w:val="22"/>
        </w:rPr>
        <w:t xml:space="preserve">means the immunization registry information system as established in </w:t>
      </w:r>
      <w:hyperlink r:id="rId6">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vision screening” </w:t>
      </w:r>
      <w:r>
        <w:rPr>
          <w:rFonts w:ascii="Times New Roman" w:hAnsi="Times New Roman"/>
          <w:b w:val="false"/>
          <w:i w:val="false"/>
          <w:color w:val="000000"/>
          <w:sz w:val="22"/>
        </w:rPr>
        <w:t>means a vision screening test administered from the Internet to a child to assess vision and includes vision test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“Ophthalmologist”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board-certified in ophthalmology as a specialist in medical and surgical eye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“Optometrist” </w:t>
      </w:r>
      <w:r>
        <w:rPr>
          <w:rFonts w:ascii="Times New Roman" w:hAnsi="Times New Roman"/>
          <w:b w:val="false"/>
          <w:i w:val="false"/>
          <w:color w:val="000000"/>
          <w:sz w:val="22"/>
        </w:rPr>
        <w:t xml:space="preserve">means a person licensed to practice optometry pursuant to Iowa Code chapter </w:t>
      </w:r>
      <w:hyperlink r:id="rId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“Photoscreening” </w:t>
      </w:r>
      <w:r>
        <w:rPr>
          <w:rFonts w:ascii="Times New Roman" w:hAnsi="Times New Roman"/>
          <w:b w:val="false"/>
          <w:i w:val="false"/>
          <w:color w:val="000000"/>
          <w:sz w:val="22"/>
        </w:rPr>
        <w:t>means a method of vision screening employing an automated technique that uses the red reflex of the eye to screen for eye problems and produces immediate readable results and a timely report of the results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licensed to practice as a physician assistant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vision impairment” </w:t>
      </w:r>
      <w:r>
        <w:rPr>
          <w:rFonts w:ascii="Times New Roman" w:hAnsi="Times New Roman"/>
          <w:b w:val="false"/>
          <w:i w:val="false"/>
          <w:color w:val="000000"/>
          <w:sz w:val="22"/>
        </w:rPr>
        <w:t>means that a child’s vision appears to be compromised and there is reason for the child to be seen by an ophthalmologist or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vision card” </w:t>
      </w:r>
      <w:r>
        <w:rPr>
          <w:rFonts w:ascii="Times New Roman" w:hAnsi="Times New Roman"/>
          <w:b w:val="false"/>
          <w:i w:val="false"/>
          <w:color w:val="000000"/>
          <w:sz w:val="22"/>
        </w:rPr>
        <w:t xml:space="preserve">means a card distributed by the Iowa optometric association to all schools in Iowa pursuant to Iowa Code section </w:t>
      </w:r>
      <w:hyperlink r:id="rId11">
        <w:r>
          <w:rPr>
            <w:rStyle w:val="Hyperlink"/>
            <w:rFonts w:ascii="Times New Roman" w:hAnsi="Times New Roman"/>
            <w:b w:val="false"/>
            <w:i w:val="false"/>
            <w:color w:val="000000"/>
            <w:sz w:val="22"/>
          </w:rPr>
          <w:t>280.7A</w:t>
        </w:r>
      </w:hyperlink>
      <w:r>
        <w:rPr>
          <w:rFonts w:ascii="Times New Roman" w:hAnsi="Times New Roman"/>
          <w:b w:val="false"/>
          <w:i w:val="false"/>
          <w:color w:val="000000"/>
          <w:sz w:val="22"/>
        </w:rPr>
        <w:t>. The student vision card recommends children receive a complete eye health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“Vision screening” </w:t>
      </w:r>
      <w:r>
        <w:rPr>
          <w:rFonts w:ascii="Times New Roman" w:hAnsi="Times New Roman"/>
          <w:b w:val="false"/>
          <w:i w:val="false"/>
          <w:color w:val="000000"/>
          <w:sz w:val="22"/>
        </w:rPr>
        <w:t>means an eye testing program that is age and developmentally appropriate and that assesses visual acuity or other risk factors contributing to refractive errors and other vision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641—52.2</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and persons excluded.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The child vision screening requirements specified in this chapter apply to all persons seeking first-time enrollment in kindergarten and third grade in a public or accredited nonpublic elementary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shall be included or excluded as established in Iowa Code section </w:t>
      </w:r>
      <w:hyperlink r:id="rId12">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641—52.3</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for a child vision screening may be satisfied pursuant to Iowa Code section </w:t>
      </w:r>
      <w:hyperlink r:id="rId13">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All vision screening methods, including emerging vision screening technologies, shall be age-appropriate and will be approved by the department. A list of acceptable child vision screening tests will be reviewed and updated annually by the department and will be listed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641—52.4</w:t>
      </w:r>
      <w:r>
        <w:rPr>
          <w:rFonts w:ascii="Times New Roman" w:hAnsi="Times New Roman"/>
          <w:b/>
          <w:i w:val="false"/>
          <w:color w:val="000000"/>
          <w:sz w:val="22"/>
        </w:rPr>
        <w:t xml:space="preserve">(135) </w:t>
      </w:r>
      <w:r>
        <w:rPr>
          <w:rFonts w:ascii="Times New Roman" w:hAnsi="Times New Roman"/>
          <w:b/>
          <w:i w:val="false"/>
          <w:color w:val="000000"/>
          <w:sz w:val="22"/>
        </w:rPr>
        <w:t xml:space="preserve">Timeline for valid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To be valid, a minimum of one child vision screening shall be performed on a child no earlier than one year prior to the date of the child’s enrollment in kindergarten and no later than six months after the date of the child’s enrollment in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color w:val="000000"/>
          <w:sz w:val="22"/>
        </w:rPr>
        <w:t xml:space="preserve">Grade three. </w:t>
      </w:r>
      <w:r>
        <w:rPr>
          <w:rFonts w:ascii="Times New Roman" w:hAnsi="Times New Roman"/>
          <w:b w:val="false"/>
          <w:i w:val="false"/>
          <w:color w:val="000000"/>
          <w:sz w:val="22"/>
        </w:rPr>
        <w:t>To be valid, a minimum of one child vision screening shall be performed on a child no earlier than one year prior to the date of the child’s enrollment in the third grade and no later than six months after the date of the child’s enrollment in the third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color w:val="000000"/>
          <w:sz w:val="22"/>
        </w:rPr>
        <w:t xml:space="preserve">Substantial compliance. </w:t>
      </w:r>
      <w:r>
        <w:rPr>
          <w:rFonts w:ascii="Times New Roman" w:hAnsi="Times New Roman"/>
          <w:b w:val="false"/>
          <w:i w:val="false"/>
          <w:color w:val="000000"/>
          <w:sz w:val="22"/>
        </w:rPr>
        <w:t>A child vision screening may also be deemed valid by the department if the department determines the child has substantially complied with the child vision screening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641—52.5</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child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guardian of a child enrolled in kindergarten or third grade shall ensure that evidence of a child vision screening is submitted to the school district or accredited nonpublic elementary school in which the child is enrolled either electronically through IRIS pursuant to subrule </w:t>
      </w:r>
      <w:r>
        <w:rPr>
          <w:rFonts w:ascii="Times New Roman" w:hAnsi="Times New Roman"/>
          <w:b w:val="false"/>
          <w:i w:val="false"/>
          <w:color w:val="000000"/>
          <w:sz w:val="22"/>
        </w:rPr>
        <w:t>52.5(2)</w:t>
      </w:r>
      <w:r>
        <w:rPr>
          <w:rFonts w:ascii="Times New Roman" w:hAnsi="Times New Roman"/>
          <w:b w:val="false"/>
          <w:i w:val="false"/>
          <w:color w:val="000000"/>
          <w:sz w:val="22"/>
        </w:rPr>
        <w:t xml:space="preserve"> or in hard copy or electronic form pursuant to subrule </w:t>
      </w:r>
      <w:r>
        <w:rPr>
          <w:rFonts w:ascii="Times New Roman" w:hAnsi="Times New Roman"/>
          <w:b w:val="false"/>
          <w:i w:val="false"/>
          <w:color w:val="000000"/>
          <w:sz w:val="22"/>
        </w:rPr>
        <w:t>52.5(3)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val="false"/>
          <w:color w:val="000000"/>
          <w:sz w:val="22"/>
        </w:rPr>
        <w:t>If the child’s vision screening results were electronically submitted to IRIS, the parent or guardian may notify the school district or accredited nonpublic elementary school of such submission to satisfy the requirement for evidence of a child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val="false"/>
          <w:color w:val="000000"/>
          <w:sz w:val="22"/>
        </w:rPr>
        <w:t>If evidence of the child vision screening is not electronically submitted to IRIS, the parent or guardian shall provide evidence of the child vision screening in hard copy or electronic form directly to the school. Hard copy or electronic evidence of the vision screening shall include the child’s first name, last name, date of birth and ZIP code; evidence of the vision screening, including the date of screening, left eye results, right eye results (if available), vision screening result of “pass” or “fail,” and designation of “yes” or “no” for referral made; and the name of the provider who performed the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52.5(4)</w:t>
      </w:r>
      <w:r>
        <w:rPr>
          <w:rFonts w:ascii="Times New Roman" w:hAnsi="Times New Roman"/>
          <w:b w:val="false"/>
          <w:i w:val="false"/>
          <w:color w:val="000000"/>
          <w:sz w:val="22"/>
        </w:rPr>
        <w:t> </w:t>
      </w:r>
      <w:r>
        <w:rPr>
          <w:rFonts w:ascii="Times New Roman" w:hAnsi="Times New Roman"/>
          <w:b w:val="false"/>
          <w:i w:val="false"/>
          <w:color w:val="000000"/>
          <w:sz w:val="22"/>
        </w:rPr>
        <w:t>Submission of a faxed copy, photocopy, or electronic copy of the child vision screening results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52.5(5)</w:t>
      </w:r>
      <w:r>
        <w:rPr>
          <w:rFonts w:ascii="Times New Roman" w:hAnsi="Times New Roman"/>
          <w:b w:val="false"/>
          <w:i w:val="false"/>
          <w:color w:val="000000"/>
          <w:sz w:val="22"/>
        </w:rPr>
        <w:t> </w:t>
      </w:r>
      <w:r>
        <w:rPr>
          <w:rFonts w:ascii="Times New Roman" w:hAnsi="Times New Roman"/>
          <w:b w:val="false"/>
          <w:i w:val="false"/>
          <w:color w:val="000000"/>
          <w:sz w:val="22"/>
        </w:rPr>
        <w:t>If a parent or guardian chooses for a child to receive a comprehensive eye examination completed by an ophthalmologist or optometrist in lieu of a vision screening, the parent or guardian may submit a completed student vision card to satisfy the requirement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641—52.6</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perform a child vision screening required by this chapter shall report results of the child vision screening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ophthalmologist or optometrist shall report the results in written form, either electronically or by hard copy,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pediatrician’s or family practice physician’s office, a free clinic, a child care center, a local public health department, a public or accredited nonpublic school, or a community-based organization or an ARNP or physician assistant shall report the results in written form, either electronically or by hard copy,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from an online vision screening administered from the Internet shall be generated in an electronic or hard-copy report to the parent or guardian to be forwarded to the department via the school or the results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autorefractor or photoscreening vision screening, including those performed by Iowa KidSight, shall be reported to the parent or guardian in written form, either electronically or by hard copy, to be forwarded to the department via the school or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collect and maintain results of the vision screenings submitted electronically, via hard copy or through IRIS.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641—52.7</w:t>
      </w:r>
      <w:r>
        <w:rPr>
          <w:rFonts w:ascii="Times New Roman" w:hAnsi="Times New Roman"/>
          <w:b/>
          <w:i w:val="false"/>
          <w:color w:val="000000"/>
          <w:sz w:val="22"/>
        </w:rPr>
        <w:t xml:space="preserve">(135) </w:t>
      </w:r>
      <w:r>
        <w:rPr>
          <w:rFonts w:ascii="Times New Roman" w:hAnsi="Times New Roman"/>
          <w:b/>
          <w:i w:val="false"/>
          <w:color w:val="000000"/>
          <w:sz w:val="22"/>
        </w:rPr>
        <w:t xml:space="preserve">School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in collaboration with the department, shall provide the parents or guardians of students enrolled in the school with vision screening referral resources prior to enrollment or during the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shall provide to parents or guardians of students for whom evidence of a child vision screening is not submitted community eye health referral resources, including but not limited to contact information for the local public health department, maternal and child health agency, Iowa KidSight, the department, or an optometric or ophthalmology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shall arrange for the following to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vision screening results or comprehensive eye examination results provided by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students whose parents or guardians indicate that the students’ results were reported through IRIS;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evidence of vision screening or comprehensive eye examination provided to the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641—52.8</w:t>
      </w:r>
      <w:r>
        <w:rPr>
          <w:rFonts w:ascii="Times New Roman" w:hAnsi="Times New Roman"/>
          <w:b/>
          <w:i w:val="false"/>
          <w:color w:val="000000"/>
          <w:sz w:val="22"/>
        </w:rPr>
        <w:t xml:space="preserve">(135) </w:t>
      </w:r>
      <w:r>
        <w:rPr>
          <w:rFonts w:ascii="Times New Roman" w:hAnsi="Times New Roman"/>
          <w:b/>
          <w:i w:val="false"/>
          <w:color w:val="000000"/>
          <w:sz w:val="22"/>
        </w:rPr>
        <w:t xml:space="preserve">Iowa’s child vision screening database module and follow-up. </w:t>
      </w:r>
      <w:r>
        <w:rPr>
          <w:rFonts w:ascii="Times New Roman" w:hAnsi="Times New Roman"/>
          <w:b w:val="false"/>
          <w:i w:val="false"/>
          <w:color w:val="000000"/>
          <w:sz w:val="22"/>
        </w:rPr>
        <w:t>The department may develop and maintain a statewide child vision screening database module in IRIS to collect and maintain child vision screening results, to ensure students receive the required vision screening, and to monitor eye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val="false"/>
          <w:color w:val="000000"/>
          <w:sz w:val="22"/>
        </w:rPr>
        <w:t>The database module will consist of vision screening information, including identifying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val="false"/>
          <w:color w:val="000000"/>
          <w:sz w:val="22"/>
        </w:rPr>
        <w:t xml:space="preserve">Database module reporting will comply with rule </w:t>
      </w:r>
      <w:hyperlink r:id="rId14">
        <w:r>
          <w:rPr>
            <w:rStyle w:val="Hyperlink"/>
            <w:rFonts w:ascii="Times New Roman" w:hAnsi="Times New Roman"/>
            <w:b w:val="false"/>
            <w:i w:val="false"/>
            <w:color w:val="000000"/>
            <w:sz w:val="22"/>
          </w:rPr>
          <w:t>641—52.6</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val="false"/>
          <w:color w:val="000000"/>
          <w:sz w:val="22"/>
        </w:rPr>
        <w:t>Unauthorized uses of database module. The database module information shall not be used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Market services to students or nonstudents;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in bill collection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Locate or identify students or nonstudents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52.8(4)</w:t>
      </w:r>
      <w:r>
        <w:rPr>
          <w:rFonts w:ascii="Times New Roman" w:hAnsi="Times New Roman"/>
          <w:b w:val="false"/>
          <w:i w:val="false"/>
          <w:color w:val="000000"/>
          <w:sz w:val="22"/>
        </w:rPr>
        <w:t> </w:t>
      </w:r>
      <w:r>
        <w:rPr>
          <w:rFonts w:ascii="Times New Roman" w:hAnsi="Times New Roman"/>
          <w:b w:val="false"/>
          <w:i w:val="false"/>
          <w:color w:val="000000"/>
          <w:sz w:val="22"/>
        </w:rPr>
        <w:t>Confidentiality of database module information. Child vision screening information, including identifying and demographic data maintained in the database module,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database module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who received the child vision screening or the parent or guardian of the person who received the child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Users of the database module that complete an agreement with the department that specifies the conditions under which the database module can be accessed and that have been issued an organization code and username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child vision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that specifies conditions for access to database module information and how that information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an entity bound by that state or federal agency, to the extent the information is necessary to perform a legally authorized function of the agency or the department. The state or federal agency is subject to confidentiality regulations that are the same as or more stringent than those in the state of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Licensed health care providers, agencies, and other persons involved with vision screenings, eye examinations, follow-up services, and intervention services as necessary to administer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database module users shall not release child vision screening data except to the person who received the child vision screening; the parent or guardian of the person who received the child vision screening; health records staff of schools; medical, optometry, ophthalmology or health care providers providing continuity of care; and other approved users of the database module.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641—52.9</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val="false"/>
          <w:color w:val="000000"/>
          <w:sz w:val="22"/>
        </w:rPr>
        <w:t>If a vision screening identifies a potential vision impairment in a child, the person who performed the vision screening or the person’s designee shall, if the person is not an ophthalmologist or optometrist, refer the child to an ophthalmologist or optometrist for a comprehensive eye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performing vision screenings or the persons’ designee shall contact parents or guardians of children identified as having potential vision impairment based on the results of a vision screening required pursuant to this chapter or a comprehensive eye examination required pursuant to subrule </w:t>
      </w:r>
      <w:hyperlink r:id="rId15">
        <w:r>
          <w:rPr>
            <w:rStyle w:val="Hyperlink"/>
            <w:rFonts w:ascii="Times New Roman" w:hAnsi="Times New Roman"/>
            <w:b w:val="false"/>
            <w:i w:val="false"/>
            <w:color w:val="000000"/>
            <w:sz w:val="22"/>
          </w:rPr>
          <w:t>52.9(1)</w:t>
        </w:r>
      </w:hyperlink>
      <w:r>
        <w:rPr>
          <w:rFonts w:ascii="Times New Roman" w:hAnsi="Times New Roman"/>
          <w:b w:val="false"/>
          <w:i w:val="false"/>
          <w:color w:val="000000"/>
          <w:sz w:val="22"/>
        </w:rPr>
        <w:t xml:space="preserve"> in order to provide information on obtaining necessary vision correction.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1924C</w:t>
      </w:r>
      <w:r>
        <w:rPr>
          <w:rFonts w:ascii="Times New Roman" w:hAnsi="Times New Roman"/>
          <w:b w:val="false"/>
          <w:i w:val="false"/>
          <w:color w:val="000000"/>
          <w:sz w:val="21"/>
        </w:rPr>
        <w:t xml:space="preserve"> (Notice ARC 1838C,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9269C</w:t>
      </w:r>
      <w:r>
        <w:rPr>
          <w:rFonts w:ascii="Times New Roman" w:hAnsi="Times New Roman"/>
          <w:b w:val="false"/>
          <w:i w:val="false"/>
          <w:color w:val="000000"/>
          <w:sz w:val="21"/>
        </w:rPr>
        <w:t xml:space="preserve"> (Notice ARC 8528C, IAB 12/11/24)</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ac/chapter/641.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54.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280.7A.pdf" Type="http://schemas.openxmlformats.org/officeDocument/2006/relationships/hyperlink" Id="rId11"/>
    <Relationship TargetMode="External" Target="https://www.legis.iowa.gov/docs/ico/chapter/135.39D.pdf" Type="http://schemas.openxmlformats.org/officeDocument/2006/relationships/hyperlink" Id="rId12"/>
    <Relationship TargetMode="External" Target="https://www.legis.iowa.gov/docs/ico/chapter/135.39D.pdf" Type="http://schemas.openxmlformats.org/officeDocument/2006/relationships/hyperlink" Id="rId13"/>
    <Relationship TargetMode="External" Target="https://www.legis.iowa.gov/docs/iac/rule/641.52.6.pdf" Type="http://schemas.openxmlformats.org/officeDocument/2006/relationships/hyperlink" Id="rId14"/>
    <Relationship TargetMode="External" Target="https://www.legis.iowa.gov/docs/iac/rule/641.52.9.pdf" Type="http://schemas.openxmlformats.org/officeDocument/2006/relationships/hyperlink" Id="rId15"/>
    <Relationship TargetMode="External" Target="https://www.legis.iowa.gov/docs/ico/chapter/135.39D.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