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 xml:space="preserve">LICENSURE STANDARDS FOR SUBSTANCE USE DISORDER </w:t>
      </w:r>
      <w:r>
        <w:br/>
      </w:r>
      <w:r>
        <w:rPr>
          <w:rFonts w:ascii="Times New Roman" w:hAnsi="Times New Roman"/>
          <w:b w:val="false"/>
          <w:i w:val="false"/>
          <w:color w:val="000000"/>
          <w:sz w:val="21"/>
        </w:rPr>
        <w:t>AND PROBLEM GAMBLING TREATMENT PROGRAMS</w:t>
      </w:r>
    </w:p>
    <w:p>
      <w:pPr>
        <w:spacing w:before="0" w:after="0"/>
        <w:ind w:left="120"/>
        <w:jc w:val="center"/>
      </w:pPr>
      <w:r>
        <w:rPr>
          <w:rFonts w:ascii="Times New Roman" w:hAnsi="Times New Roman"/>
          <w:b w:val="false"/>
          <w:i w:val="false"/>
          <w:color w:val="000000"/>
          <w:sz w:val="14"/>
        </w:rPr>
        <w:t>[Prior to 7/27/88, see Substance Abuse, Iowa Department of[805] Ch 3]</w:t>
      </w:r>
    </w:p>
    <w:p>
      <w:pPr>
        <w:spacing w:before="0" w:after="0"/>
        <w:ind w:left="120"/>
        <w:jc w:val="center"/>
      </w:pPr>
      <w:r>
        <w:rPr>
          <w:rFonts w:ascii="Times New Roman" w:hAnsi="Times New Roman"/>
          <w:b w:val="false"/>
          <w:i w:val="false"/>
          <w:color w:val="000000"/>
          <w:sz w:val="14"/>
        </w:rPr>
        <w:t>[Prior to 3/29/06, see 643—Ch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641—155.1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opioid treatment program” </w:t>
      </w:r>
      <w:r>
        <w:rPr>
          <w:rFonts w:ascii="Times New Roman" w:hAnsi="Times New Roman"/>
          <w:b w:val="false"/>
          <w:i w:val="false"/>
          <w:color w:val="000000"/>
          <w:sz w:val="22"/>
        </w:rPr>
        <w:t>means an opioid treatment program that is the subject of a current, valid accreditation from an accreditation body approved by the Substance Abuse and Mental Health Services Administration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“Addictive disorder” </w:t>
      </w:r>
      <w:r>
        <w:rPr>
          <w:rFonts w:ascii="Times New Roman" w:hAnsi="Times New Roman"/>
          <w:b w:val="false"/>
          <w:i w:val="false"/>
          <w:color w:val="000000"/>
          <w:sz w:val="22"/>
        </w:rPr>
        <w:t>means a substance use disorder and problem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“Addictive disorder professional” </w:t>
      </w:r>
      <w:r>
        <w:rPr>
          <w:rFonts w:ascii="Times New Roman" w:hAnsi="Times New Roman"/>
          <w:b w:val="false"/>
          <w:i w:val="false"/>
          <w:color w:val="000000"/>
          <w:sz w:val="22"/>
        </w:rPr>
        <w:t>means an individual who is qualified by virtue of certification or license and education, training and experience to provide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means the direct application of a prescription medication to a patient by a prescriber or the prescriber’s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w:t>
      </w:r>
      <w:r>
        <w:rPr>
          <w:rFonts w:ascii="Times New Roman" w:hAnsi="Times New Roman"/>
          <w:b w:val="false"/>
          <w:i w:val="false"/>
          <w:color w:val="000000"/>
          <w:sz w:val="22"/>
        </w:rPr>
        <w:t>means the point at which an initial assessment has been completed sufficient to determine the patient’s need and eligibility for program services and the patient has agreed to begin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continued service, and discharge criteria” </w:t>
      </w:r>
      <w:r>
        <w:rPr>
          <w:rFonts w:ascii="Times New Roman" w:hAnsi="Times New Roman"/>
          <w:b w:val="false"/>
          <w:i w:val="false"/>
          <w:color w:val="000000"/>
          <w:sz w:val="22"/>
        </w:rPr>
        <w:t>means the ASAM criteria dimensions to be considered in determining the level of care appropriate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facility, or legal entity that has applied for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the process through which an applicant requests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“ASAM criteria” </w:t>
      </w:r>
      <w:r>
        <w:rPr>
          <w:rFonts w:ascii="Times New Roman" w:hAnsi="Times New Roman"/>
          <w:b w:val="false"/>
          <w:i w:val="false"/>
          <w:color w:val="000000"/>
          <w:sz w:val="22"/>
        </w:rPr>
        <w:t>means the clinical guide for the treatment of addictive, substance use and co-occurring conditions as published by the American Society of Addiction Medicine (ASAM)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ongoing process of evaluating a patient’s strengths, resources, preferences, limitations, problems, and needs; determining the licensed program services needed by the patient; determining the patient’s eligibility for program services; and identifying treatment plan priorities, in accordance with the ASAM criteria and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the collaborative process that assesses, plans, implements, coordinates, monitors and evaluates the options and services, both internal and external to the program, to meet patient needs, using communication and available resources to promote quality care and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by which SAMHSA determines that an opioid treatment program is qualified to provide opioid treatment under the federal opioid treatment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application” </w:t>
      </w:r>
      <w:r>
        <w:rPr>
          <w:rFonts w:ascii="Times New Roman" w:hAnsi="Times New Roman"/>
          <w:b w:val="false"/>
          <w:i w:val="false"/>
          <w:color w:val="000000"/>
          <w:sz w:val="22"/>
        </w:rPr>
        <w:t>means the application filed by an opioid treatment program for purposes of obtaining certification from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opioid treatment program” </w:t>
      </w:r>
      <w:r>
        <w:rPr>
          <w:rFonts w:ascii="Times New Roman" w:hAnsi="Times New Roman"/>
          <w:b w:val="false"/>
          <w:i w:val="false"/>
          <w:color w:val="000000"/>
          <w:sz w:val="22"/>
        </w:rPr>
        <w:t>means an opioid treatment program that is the subject of a current, valid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substance” </w:t>
      </w:r>
      <w:r>
        <w:rPr>
          <w:rFonts w:ascii="Times New Roman" w:hAnsi="Times New Roman"/>
          <w:b w:val="false"/>
          <w:i w:val="false"/>
          <w:color w:val="000000"/>
          <w:sz w:val="22"/>
        </w:rPr>
        <w:t xml:space="preserve">means alcohol, wine, spirits and beer as defined in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controlled substances as defined in Iowa Code section </w:t>
      </w:r>
      <w:hyperlink r:id="rId6">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w:t>
      </w:r>
      <w:r>
        <w:rPr>
          <w:rFonts w:ascii="Times New Roman" w:hAnsi="Times New Roman"/>
          <w:b w:val="false"/>
          <w:i w:val="false"/>
          <w:color w:val="000000"/>
          <w:sz w:val="22"/>
        </w:rPr>
        <w:t>means that program services are directed by addictive disorder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high-intensity residential treatment” </w:t>
      </w:r>
      <w:r>
        <w:rPr>
          <w:rFonts w:ascii="Times New Roman" w:hAnsi="Times New Roman"/>
          <w:b w:val="false"/>
          <w:i w:val="false"/>
          <w:color w:val="000000"/>
          <w:sz w:val="22"/>
        </w:rPr>
        <w:t>means the ASAM criteria level of care totaling at least 50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low-intensity residential treatment” </w:t>
      </w:r>
      <w:r>
        <w:rPr>
          <w:rFonts w:ascii="Times New Roman" w:hAnsi="Times New Roman"/>
          <w:b w:val="false"/>
          <w:i w:val="false"/>
          <w:color w:val="000000"/>
          <w:sz w:val="22"/>
        </w:rPr>
        <w:t>means the ASAM criteria level of care totaling at least five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medium-intensity residential treatment” </w:t>
      </w:r>
      <w:r>
        <w:rPr>
          <w:rFonts w:ascii="Times New Roman" w:hAnsi="Times New Roman"/>
          <w:b w:val="false"/>
          <w:i w:val="false"/>
          <w:color w:val="000000"/>
          <w:sz w:val="22"/>
        </w:rPr>
        <w:t>means the ASAM criteria level of care totaling at least 30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oversight” </w:t>
      </w:r>
      <w:r>
        <w:rPr>
          <w:rFonts w:ascii="Times New Roman" w:hAnsi="Times New Roman"/>
          <w:b w:val="false"/>
          <w:i w:val="false"/>
          <w:color w:val="000000"/>
          <w:sz w:val="22"/>
        </w:rPr>
        <w:t xml:space="preserve">means oversight provided by an individual who, by virtue of certification or license and education, training and experience is qualified to oversee treatment services in accordance with subrule </w:t>
      </w:r>
      <w:hyperlink r:id="rId7">
        <w:r>
          <w:rPr>
            <w:rStyle w:val="Hyperlink"/>
            <w:rFonts w:ascii="Times New Roman" w:hAnsi="Times New Roman"/>
            <w:b w:val="false"/>
            <w:i w:val="false"/>
            <w:color w:val="000000"/>
            <w:sz w:val="22"/>
          </w:rPr>
          <w:t>155.21(3)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maintenance treatment” </w:t>
      </w:r>
      <w:r>
        <w:rPr>
          <w:rFonts w:ascii="Times New Roman" w:hAnsi="Times New Roman"/>
          <w:b w:val="false"/>
          <w:i w:val="false"/>
          <w:color w:val="000000"/>
          <w:sz w:val="22"/>
        </w:rPr>
        <w:t>means maintenance treatment provided in conjunction with a comprehensive range of appropriate medical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“Concerned person” </w:t>
      </w:r>
      <w:r>
        <w:rPr>
          <w:rFonts w:ascii="Times New Roman" w:hAnsi="Times New Roman"/>
          <w:b w:val="false"/>
          <w:i w:val="false"/>
          <w:color w:val="000000"/>
          <w:sz w:val="22"/>
        </w:rPr>
        <w:t>means an individual who is seeking treatment services due to problems arising from a personal relationship with an individual with an addictive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means protection of patient information in compliance with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w:t>
      </w:r>
      <w:r>
        <w:rPr>
          <w:rFonts w:ascii="Times New Roman" w:hAnsi="Times New Roman"/>
          <w:b w:val="false"/>
          <w:i w:val="false"/>
          <w:color w:val="000000"/>
          <w:sz w:val="22"/>
        </w:rPr>
        <w:t>means medically monitored subacute inpatient services for individuals with urgent addictive disorder needs requiring immediate intervention, assessment, and mobilization of family, community and program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r>
        <w:rPr>
          <w:rFonts w:ascii="Times New Roman" w:hAnsi="Times New Roman"/>
          <w:b w:val="false"/>
          <w:i w:val="false"/>
          <w:color w:val="000000"/>
          <w:sz w:val="22"/>
        </w:rPr>
        <w:t>means the required submission of certain patient demographic and program services information to the department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“Dimension” </w:t>
      </w:r>
      <w:r>
        <w:rPr>
          <w:rFonts w:ascii="Times New Roman" w:hAnsi="Times New Roman"/>
          <w:b w:val="false"/>
          <w:i w:val="false"/>
          <w:color w:val="000000"/>
          <w:sz w:val="22"/>
        </w:rPr>
        <w:t>means one of the six ASAM criteria patient biopsychosocial areas to be considered in the assessment process to identify patient needs and determine the appropriate level of care for admission and continued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the point at which the patient ceases participation in licensed program services, marking the end of a specific encounter or episode of care. Discharge does not require termination of the relationship between the patient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planning” </w:t>
      </w:r>
      <w:r>
        <w:rPr>
          <w:rFonts w:ascii="Times New Roman" w:hAnsi="Times New Roman"/>
          <w:b w:val="false"/>
          <w:i w:val="false"/>
          <w:color w:val="000000"/>
          <w:sz w:val="22"/>
        </w:rPr>
        <w:t>means the process, begun at admission, of determining a patient’s continued need for licensed program services and of developing a plan to address ongoing patient needs following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“DSM” </w:t>
      </w:r>
      <w:r>
        <w:rPr>
          <w:rFonts w:ascii="Times New Roman" w:hAnsi="Times New Roman"/>
          <w:b w:val="false"/>
          <w:i w:val="false"/>
          <w:color w:val="000000"/>
          <w:sz w:val="22"/>
        </w:rPr>
        <w:t>means the Diagnostic and Statistical Manual of Mental Disorders published by the American Psychiatric Association as amended to August 1, 2025, and all references to the DSM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intervention” </w:t>
      </w:r>
      <w:r>
        <w:rPr>
          <w:rFonts w:ascii="Times New Roman" w:hAnsi="Times New Roman"/>
          <w:b w:val="false"/>
          <w:i w:val="false"/>
          <w:color w:val="000000"/>
          <w:sz w:val="22"/>
        </w:rPr>
        <w:t>means the ASAM criteria level of care that explores and addresses problems or risk factors that appear to be related to an addictive disorder and that helps the individual recognize potential harmful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program” </w:t>
      </w:r>
      <w:r>
        <w:rPr>
          <w:rFonts w:ascii="Times New Roman" w:hAnsi="Times New Roman"/>
          <w:b w:val="false"/>
          <w:i w:val="false"/>
          <w:color w:val="000000"/>
          <w:sz w:val="22"/>
        </w:rPr>
        <w:t xml:space="preserve">means a licensee that provides enhanced treatment services in accordance with paragraph </w:t>
      </w:r>
      <w:hyperlink r:id="rId8">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treatment services” </w:t>
      </w:r>
      <w:r>
        <w:rPr>
          <w:rFonts w:ascii="Times New Roman" w:hAnsi="Times New Roman"/>
          <w:b w:val="false"/>
          <w:i w:val="false"/>
          <w:color w:val="000000"/>
          <w:sz w:val="22"/>
        </w:rPr>
        <w:t xml:space="preserve">means licensed program services provided in accordance with paragraph </w:t>
      </w:r>
      <w:hyperlink r:id="rId10">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an institution or an installation providing care, maintenance or treatment for persons with substance use disorders licensed by the department under Iowa Code section </w:t>
      </w:r>
      <w:hyperlink r:id="rId1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hospitals licensed under Iowa Code chapter </w:t>
      </w:r>
      <w:hyperlink r:id="rId13">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the state mental health institutes designated by Iowa Code chapter </w:t>
      </w:r>
      <w:hyperlink r:id="rId14">
        <w:r>
          <w:rPr>
            <w:rStyle w:val="Hyperlink"/>
            <w:rFonts w:ascii="Times New Roman" w:hAnsi="Times New Roman"/>
            <w:b w:val="false"/>
            <w:i w:val="false"/>
            <w:color w:val="000000"/>
            <w:sz w:val="22"/>
          </w:rPr>
          <w:t>226</w:t>
        </w:r>
      </w:hyperlink>
      <w:r>
        <w:rPr>
          <w:rFonts w:ascii="Times New Roman" w:hAnsi="Times New Roman"/>
          <w:b w:val="false"/>
          <w:i w:val="false"/>
          <w:color w:val="000000"/>
          <w:sz w:val="22"/>
        </w:rPr>
        <w:t>. “Facility” also means the physical areas such as grounds, buildings, or portions thereof under administrative control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person, group, or legal entity that has ultimate authority and responsibility for the overall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“Inpatient” </w:t>
      </w:r>
      <w:r>
        <w:rPr>
          <w:rFonts w:ascii="Times New Roman" w:hAnsi="Times New Roman"/>
          <w:b w:val="false"/>
          <w:i w:val="false"/>
          <w:color w:val="000000"/>
          <w:sz w:val="22"/>
        </w:rPr>
        <w:t>means 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outpatient treatment” </w:t>
      </w:r>
      <w:r>
        <w:rPr>
          <w:rFonts w:ascii="Times New Roman" w:hAnsi="Times New Roman"/>
          <w:b w:val="false"/>
          <w:i w:val="false"/>
          <w:color w:val="000000"/>
          <w:sz w:val="22"/>
        </w:rPr>
        <w:t>means the ASAM criteria level of care totaling a minimum of nine hours of clinically managed outpatient treatment services per week for adults or a minimum of six hours of clinically managed outpatient treatment services per week for juveniles.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maintenance treatment” </w:t>
      </w:r>
      <w:r>
        <w:rPr>
          <w:rFonts w:ascii="Times New Roman" w:hAnsi="Times New Roman"/>
          <w:b w:val="false"/>
          <w:i w:val="false"/>
          <w:color w:val="000000"/>
          <w:sz w:val="22"/>
        </w:rPr>
        <w:t>means withdrawal management for a period of more than 30 days but not in excess of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“level of service” </w:t>
      </w:r>
      <w:r>
        <w:rPr>
          <w:rFonts w:ascii="Times New Roman" w:hAnsi="Times New Roman"/>
          <w:b w:val="false"/>
          <w:i w:val="false"/>
          <w:color w:val="000000"/>
          <w:sz w:val="22"/>
        </w:rPr>
        <w:t>means the different ASAM criteria service options. “Level of care” also means certain licensed program services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program services” </w:t>
      </w:r>
      <w:r>
        <w:rPr>
          <w:rFonts w:ascii="Times New Roman" w:hAnsi="Times New Roman"/>
          <w:b w:val="false"/>
          <w:i w:val="false"/>
          <w:color w:val="000000"/>
          <w:sz w:val="22"/>
        </w:rPr>
        <w:t>means the services a licensee may be authorized to provide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program licensed by the department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the issuance of a license by the department pursuant to these rules that validates the licensee’s compliance with these rules and authorizes the licensee to operate a program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weighting report” </w:t>
      </w:r>
      <w:r>
        <w:rPr>
          <w:rFonts w:ascii="Times New Roman" w:hAnsi="Times New Roman"/>
          <w:b w:val="false"/>
          <w:i w:val="false"/>
          <w:color w:val="000000"/>
          <w:sz w:val="22"/>
        </w:rPr>
        <w:t>means the department’s report that is used to determine an applicant’s level of compliance with these rules and the length of time a license will be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prolonged, scheduled administration of an opiate agonist medication such as buprenorphine or methadone by an opioid treatment program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treatment” </w:t>
      </w:r>
      <w:r>
        <w:rPr>
          <w:rFonts w:ascii="Times New Roman" w:hAnsi="Times New Roman"/>
          <w:b w:val="false"/>
          <w:i w:val="false"/>
          <w:color w:val="000000"/>
          <w:sz w:val="22"/>
        </w:rPr>
        <w:t>means the dispensing of a medication for opioid use disorder (MOUD) at stable dosage levels for a period in excess of 21 days in the treatment of an individual for opioid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of care” </w:t>
      </w:r>
      <w:r>
        <w:rPr>
          <w:rFonts w:ascii="Times New Roman" w:hAnsi="Times New Roman"/>
          <w:b w:val="false"/>
          <w:i w:val="false"/>
          <w:color w:val="000000"/>
          <w:sz w:val="22"/>
        </w:rPr>
        <w:t xml:space="preserve">means the ongoing application of the ASAM criteria and the coordination of care to ensure the appropriate provision of licensed program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and rehabilitative services” </w:t>
      </w:r>
      <w:r>
        <w:rPr>
          <w:rFonts w:ascii="Times New Roman" w:hAnsi="Times New Roman"/>
          <w:b w:val="false"/>
          <w:i w:val="false"/>
          <w:color w:val="000000"/>
          <w:sz w:val="22"/>
        </w:rPr>
        <w:t>means services such as medical evaluations, counseling, and rehabilitative and other social programs (e.g., vocational and educational guidance, employment placement) that are intended to help patients in opioid treatment programs become or remain productive members of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 physician who is licensed to practice medicine in accordance with Iowa Code chapter </w:t>
      </w:r>
      <w:hyperlink r:id="rId1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who assumes responsibility for administering all medical services performed by the program, either by performing them directly or by delegating specific responsibility to authorized program physicians and health care professionals functioning under the medical director’s direct supervision. Such delegations will not eliminate the medical director’s responsibility for all medical and behavioral health services provided by the OTP.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managed” </w:t>
      </w:r>
      <w:r>
        <w:rPr>
          <w:rFonts w:ascii="Times New Roman" w:hAnsi="Times New Roman"/>
          <w:b w:val="false"/>
          <w:i w:val="false"/>
          <w:color w:val="000000"/>
          <w:sz w:val="22"/>
        </w:rPr>
        <w:t>means that the inpatient program services that involve daily medical care in a hospital setting are directed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managed intensive inpatient treatment” </w:t>
      </w:r>
      <w:r>
        <w:rPr>
          <w:rFonts w:ascii="Times New Roman" w:hAnsi="Times New Roman"/>
          <w:b w:val="false"/>
          <w:i w:val="false"/>
          <w:color w:val="000000"/>
          <w:sz w:val="22"/>
        </w:rPr>
        <w:t>means the ASAM criteria level of care for medically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monitored” </w:t>
      </w:r>
      <w:r>
        <w:rPr>
          <w:rFonts w:ascii="Times New Roman" w:hAnsi="Times New Roman"/>
          <w:b w:val="false"/>
          <w:i w:val="false"/>
          <w:color w:val="000000"/>
          <w:sz w:val="22"/>
        </w:rPr>
        <w:t>means that the program services are directed by addictive disorder professionals with medical oversight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monitored intensive inpatient treatment” </w:t>
      </w:r>
      <w:r>
        <w:rPr>
          <w:rFonts w:ascii="Times New Roman" w:hAnsi="Times New Roman"/>
          <w:b w:val="false"/>
          <w:i w:val="false"/>
          <w:color w:val="000000"/>
          <w:sz w:val="22"/>
        </w:rPr>
        <w:t>means the ASAM criteria level of care for medically monitored subacute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“Medication-assisted treatment” </w:t>
      </w:r>
      <w:r>
        <w:rPr>
          <w:rFonts w:ascii="Times New Roman" w:hAnsi="Times New Roman"/>
          <w:b w:val="false"/>
          <w:i w:val="false"/>
          <w:color w:val="000000"/>
          <w:sz w:val="22"/>
        </w:rPr>
        <w:t>means the medically monitored use of certain substance use disorder medications in combination with other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unit” </w:t>
      </w:r>
      <w:r>
        <w:rPr>
          <w:rFonts w:ascii="Times New Roman" w:hAnsi="Times New Roman"/>
          <w:b w:val="false"/>
          <w:i w:val="false"/>
          <w:color w:val="000000"/>
          <w:sz w:val="22"/>
        </w:rPr>
        <w:t>means an entity that is established as part of, but geographically separate from, an OTP from which appropriately licensed OTP practitioners, contractors working on behalf of the OTP, or community pharmacists may dispense or administer MOUD, collect samples for drug testing or analysis, or provide other OTP services. Medication units can be a brick-and-mortar location or mobile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addiction” </w:t>
      </w:r>
      <w:r>
        <w:rPr>
          <w:rFonts w:ascii="Times New Roman" w:hAnsi="Times New Roman"/>
          <w:b w:val="false"/>
          <w:i w:val="false"/>
          <w:color w:val="000000"/>
          <w:sz w:val="22"/>
        </w:rPr>
        <w:t>means a cluster of cognitive, behavioral, and physiological symptoms in which the individual continues use of opioids despite significant opiate-induced problems. Opioid dependence is characterized by an individual’s repeated self-administration of opioids that usually results in opioid tolerance, withdrawal symptoms, and compulsive drug-taking. Dependency may occur with or without the physiological symptoms of tolerance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agonist treatment medication” </w:t>
      </w:r>
      <w:r>
        <w:rPr>
          <w:rFonts w:ascii="Times New Roman" w:hAnsi="Times New Roman"/>
          <w:b w:val="false"/>
          <w:i w:val="false"/>
          <w:color w:val="000000"/>
          <w:sz w:val="22"/>
        </w:rPr>
        <w:t xml:space="preserve">means any opioid agonist drug that is approved by the Food and Drug Administration under </w:t>
      </w:r>
      <w:r>
        <w:rPr>
          <w:rFonts w:ascii="Times New Roman" w:hAnsi="Times New Roman"/>
          <w:b w:val="false"/>
          <w:i w:val="false"/>
          <w:color w:val="000000"/>
          <w:sz w:val="22"/>
        </w:rPr>
        <w:t>Section 505 of the Federal Food, Drug, and Cosmetic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355</w:t>
      </w:r>
      <w:r>
        <w:rPr>
          <w:rFonts w:ascii="Times New Roman" w:hAnsi="Times New Roman"/>
          <w:b w:val="false"/>
          <w:i w:val="false"/>
          <w:color w:val="000000"/>
          <w:sz w:val="22"/>
        </w:rPr>
        <w:t xml:space="preserve"> as amended to August 1, 2025) for use in the treatment of opiate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drug” </w:t>
      </w:r>
      <w:r>
        <w:rPr>
          <w:rFonts w:ascii="Times New Roman" w:hAnsi="Times New Roman"/>
          <w:b w:val="false"/>
          <w:i w:val="false"/>
          <w:color w:val="000000"/>
          <w:sz w:val="22"/>
        </w:rPr>
        <w:t>means any drug having an addiction-forming or addiction-sustaining liability similar to morphine or being capable of conversion into a drug having such addiction-forming or addiction-sustaining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“OTP” </w:t>
      </w:r>
      <w:r>
        <w:rPr>
          <w:rFonts w:ascii="Times New Roman" w:hAnsi="Times New Roman"/>
          <w:b w:val="false"/>
          <w:i w:val="false"/>
          <w:color w:val="000000"/>
          <w:sz w:val="22"/>
        </w:rPr>
        <w:t xml:space="preserve">means a substance use disorder treatment program or a substance use disorder and problem gambling treatment program licensed to provide opioid treatment services in accordance with Iowa Code section </w:t>
      </w:r>
      <w:hyperlink r:id="rId16">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rules </w:t>
      </w:r>
      <w:hyperlink r:id="rId17">
        <w:r>
          <w:rPr>
            <w:rStyle w:val="Hyperlink"/>
            <w:rFonts w:ascii="Times New Roman" w:hAnsi="Times New Roman"/>
            <w:b w:val="false"/>
            <w:i w:val="false"/>
            <w:color w:val="000000"/>
            <w:sz w:val="22"/>
          </w:rPr>
          <w:t>641—155.2</w:t>
        </w:r>
      </w:hyperlink>
      <w:r>
        <w:rPr>
          <w:rFonts w:ascii="Times New Roman" w:hAnsi="Times New Roman"/>
          <w:b w:val="false"/>
          <w:i w:val="false"/>
          <w:color w:val="000000"/>
          <w:sz w:val="22"/>
        </w:rPr>
        <w:t xml:space="preserve">(125,135) and </w:t>
      </w:r>
      <w:hyperlink r:id="rId18">
        <w:r>
          <w:rPr>
            <w:rStyle w:val="Hyperlink"/>
            <w:rFonts w:ascii="Times New Roman" w:hAnsi="Times New Roman"/>
            <w:b w:val="false"/>
            <w:i w:val="false"/>
            <w:color w:val="000000"/>
            <w:sz w:val="22"/>
          </w:rPr>
          <w:t>641—155.35</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services” </w:t>
      </w:r>
      <w:r>
        <w:rPr>
          <w:rFonts w:ascii="Times New Roman" w:hAnsi="Times New Roman"/>
          <w:b w:val="false"/>
          <w:i w:val="false"/>
          <w:color w:val="000000"/>
          <w:sz w:val="22"/>
        </w:rPr>
        <w:t>means medically monitored outpatient maintenance services provided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use disorder treatment”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“OUD treatment” </w:t>
      </w:r>
      <w:r>
        <w:rPr>
          <w:rFonts w:ascii="Times New Roman" w:hAnsi="Times New Roman"/>
          <w:b w:val="false"/>
          <w:i w:val="false"/>
          <w:color w:val="000000"/>
          <w:sz w:val="22"/>
        </w:rPr>
        <w:t>means the dispensing of MOUD, along with the provision of a range of medical and behavioral health services, as clinically necessary and based on an individualized assessment and a mutually agreed-upon care plan, to an individual to alleviate the combination of adverse medical, psychological, or physical effects associated with an OUD.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w:t>
      </w:r>
      <w:r>
        <w:rPr>
          <w:rFonts w:ascii="Times New Roman" w:hAnsi="Times New Roman"/>
          <w:b w:val="false"/>
          <w:i w:val="false"/>
          <w:color w:val="000000"/>
          <w:sz w:val="22"/>
        </w:rPr>
        <w:t>means non-24-hour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treatment” </w:t>
      </w:r>
      <w:r>
        <w:rPr>
          <w:rFonts w:ascii="Times New Roman" w:hAnsi="Times New Roman"/>
          <w:b w:val="false"/>
          <w:i w:val="false"/>
          <w:color w:val="000000"/>
          <w:sz w:val="22"/>
        </w:rPr>
        <w:t xml:space="preserve">means the ASAM criteria level of care totaling less than nine hours of clinically managed outpatient treatment services per week for adults and less than six hours of clinically managed outpatient treatment services per week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“OWI evaluation” </w:t>
      </w:r>
      <w:r>
        <w:rPr>
          <w:rFonts w:ascii="Times New Roman" w:hAnsi="Times New Roman"/>
          <w:b w:val="false"/>
          <w:i w:val="false"/>
          <w:color w:val="000000"/>
          <w:sz w:val="22"/>
        </w:rPr>
        <w:t xml:space="preserve">means an assessment completed solely for the purpose of compliance with the substance abuse evaluation requirements of Iowa Code chapter </w:t>
      </w:r>
      <w:hyperlink r:id="rId1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“Partial/day treatment” </w:t>
      </w:r>
      <w:r>
        <w:rPr>
          <w:rFonts w:ascii="Times New Roman" w:hAnsi="Times New Roman"/>
          <w:b w:val="false"/>
          <w:i w:val="false"/>
          <w:color w:val="000000"/>
          <w:sz w:val="22"/>
        </w:rPr>
        <w:t>means the ASAM criteria level of care totaling 20 or more hours of clinically managed outpatient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who participates in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means selection of an appropriate licensed program service, based on ongoing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“Prescriber” </w:t>
      </w:r>
      <w:r>
        <w:rPr>
          <w:rFonts w:ascii="Times New Roman" w:hAnsi="Times New Roman"/>
          <w:b w:val="false"/>
          <w:i w:val="false"/>
          <w:color w:val="000000"/>
          <w:sz w:val="22"/>
        </w:rPr>
        <w:t>means a licensed health care professional with the authority to prescribe medication in accordance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w:t>
      </w:r>
      <w:r>
        <w:rPr>
          <w:rFonts w:ascii="Times New Roman" w:hAnsi="Times New Roman"/>
          <w:b w:val="false"/>
          <w:i w:val="false"/>
          <w:color w:val="000000"/>
          <w:sz w:val="22"/>
        </w:rPr>
        <w:t>means activities aimed at minimizing the use of potentially addictive substances, lowering risk in at-risk individuals, or minimizing potential adverse consequences of substance use or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“Prime programming time” </w:t>
      </w:r>
      <w:r>
        <w:rPr>
          <w:rFonts w:ascii="Times New Roman" w:hAnsi="Times New Roman"/>
          <w:b w:val="false"/>
          <w:i w:val="false"/>
          <w:color w:val="000000"/>
          <w:sz w:val="22"/>
        </w:rPr>
        <w:t>means any period of the day, as determined by a program treating juveniles, when special attention or supervision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“Problem gambling” </w:t>
      </w:r>
      <w:r>
        <w:rPr>
          <w:rFonts w:ascii="Times New Roman" w:hAnsi="Times New Roman"/>
          <w:b w:val="false"/>
          <w:i w:val="false"/>
          <w:color w:val="000000"/>
          <w:sz w:val="22"/>
        </w:rPr>
        <w:t>means a gambling disorder that results in a functional impairment of sufficient impact and duration to meet diagnostic criteria specified within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person, facility, institution, building, agency or legal entity that provides one or more of the services stated in subrule </w:t>
      </w:r>
      <w:hyperlink r:id="rId20">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and is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sponsor” </w:t>
      </w:r>
      <w:r>
        <w:rPr>
          <w:rFonts w:ascii="Times New Roman" w:hAnsi="Times New Roman"/>
          <w:b w:val="false"/>
          <w:i w:val="false"/>
          <w:color w:val="000000"/>
          <w:sz w:val="22"/>
        </w:rPr>
        <w:t>means the person responsible for the operation of the opioid treatment program and who assumes responsibility for all its employees, including any practitioners, agents, or other persons providing medical, rehabilitative, or counseling services at the program or any of its medication units. The program sponsor need not be a licensed physician but shall employ a licensed physician for the position of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w:t>
      </w:r>
      <w:r>
        <w:rPr>
          <w:rFonts w:ascii="Times New Roman" w:hAnsi="Times New Roman"/>
          <w:b w:val="false"/>
          <w:i w:val="false"/>
          <w:color w:val="000000"/>
          <w:sz w:val="22"/>
        </w:rPr>
        <w:t>means the process of objectively and systematically monitoring and evaluating the quality and appropriateness of patient care and program services and operations to resolve identified problems and to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the process of addressing an addictive disorder and working toward personally defined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supports” </w:t>
      </w:r>
      <w:r>
        <w:rPr>
          <w:rFonts w:ascii="Times New Roman" w:hAnsi="Times New Roman"/>
          <w:b w:val="false"/>
          <w:i w:val="false"/>
          <w:color w:val="000000"/>
          <w:sz w:val="22"/>
        </w:rPr>
        <w:t>means the broad range of nontreatment services, such as transportation, that assists patients in their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the restoration of an optimal state of health by medical, psychological, and social means, including peer group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t>
      </w:r>
      <w:r>
        <w:rPr>
          <w:rFonts w:ascii="Times New Roman" w:hAnsi="Times New Roman"/>
          <w:b w:val="false"/>
          <w:i w:val="false"/>
          <w:color w:val="000000"/>
          <w:sz w:val="22"/>
        </w:rPr>
        <w:t>means clinically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means the brief review of a patient’s or potential patient’s current risk factors for an addictive disorder or medical or mental health condition to determine if they indicate a need for immediate admission or referral. Screening is not an assessment and is not sufficient to develop a treatment plan, rule out an addictive disorder, or determine that admission to treatment or referral to other services is not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withdrawal management treatment” </w:t>
      </w:r>
      <w:r>
        <w:rPr>
          <w:rFonts w:ascii="Times New Roman" w:hAnsi="Times New Roman"/>
          <w:b w:val="false"/>
          <w:i w:val="false"/>
          <w:color w:val="000000"/>
          <w:sz w:val="22"/>
        </w:rPr>
        <w:t>means withdrawal management treatment for a period not in excess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medication” </w:t>
      </w:r>
      <w:r>
        <w:rPr>
          <w:rFonts w:ascii="Times New Roman" w:hAnsi="Times New Roman"/>
          <w:b w:val="false"/>
          <w:i w:val="false"/>
          <w:color w:val="000000"/>
          <w:sz w:val="22"/>
        </w:rPr>
        <w:t>means the process whereby a properly trained and qualified staff person observes a patient take medication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individual who conducts an activity on behalf of a program as an employee, agent, consultant, contractor, volunteer or other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“Standards category” </w:t>
      </w:r>
      <w:r>
        <w:rPr>
          <w:rFonts w:ascii="Times New Roman" w:hAnsi="Times New Roman"/>
          <w:b w:val="false"/>
          <w:i w:val="false"/>
          <w:color w:val="000000"/>
          <w:sz w:val="22"/>
        </w:rPr>
        <w:t>means the grouping of standards, such as clinical, administrative or programming, in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authority” </w:t>
      </w:r>
      <w:r>
        <w:rPr>
          <w:rFonts w:ascii="Times New Roman" w:hAnsi="Times New Roman"/>
          <w:b w:val="false"/>
          <w:i w:val="false"/>
          <w:color w:val="000000"/>
          <w:sz w:val="22"/>
        </w:rPr>
        <w:t>means the department, which regulates the treatment of opioid addiction with opioid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“Subacute” </w:t>
      </w:r>
      <w:r>
        <w:rPr>
          <w:rFonts w:ascii="Times New Roman" w:hAnsi="Times New Roman"/>
          <w:b w:val="false"/>
          <w:i w:val="false"/>
          <w:color w:val="000000"/>
          <w:sz w:val="22"/>
        </w:rPr>
        <w:t>means medically monitored inpatient services for individuals who require management, supervision and treatment to reduce immediate risk of danger to self or others or severe disability or complication of an addictive disorder or an addictive disorder and a medical or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and rehabilitation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“substance abuse treatment program” </w:t>
      </w:r>
      <w:r>
        <w:rPr>
          <w:rFonts w:ascii="Times New Roman" w:hAnsi="Times New Roman"/>
          <w:b w:val="false"/>
          <w:i w:val="false"/>
          <w:color w:val="000000"/>
          <w:sz w:val="22"/>
        </w:rPr>
        <w:t>means a program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w:t>
      </w:r>
      <w:r>
        <w:rPr>
          <w:rFonts w:ascii="Times New Roman" w:hAnsi="Times New Roman"/>
          <w:b w:val="false"/>
          <w:i w:val="false"/>
          <w:color w:val="000000"/>
          <w:sz w:val="22"/>
        </w:rPr>
        <w:t>means a substance use disorder that results in a functional impairment of sufficient impact and duration to meet diagnostic criteria specified within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514C.34(1)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 frames” </w:t>
      </w:r>
      <w:r>
        <w:rPr>
          <w:rFonts w:ascii="Times New Roman" w:hAnsi="Times New Roman"/>
          <w:b w:val="false"/>
          <w:i w:val="false"/>
          <w:color w:val="000000"/>
          <w:sz w:val="22"/>
        </w:rPr>
        <w:t>means the periods of time specified throughout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the broad range of planned services to identify and change patterns of behavior that are maladaptive, destructive or injurious to health or to restore appropriate levels of physical, psychological or social functioning. Such services may include assessment; care coordination; crisis stabilization; withdrawal management; early intervention; health promotion; individual, group and family counseling; management of care; and medication administration, provided by addictive disorder professionals and a mix of medical, mental health and peer professionals as appropriate to the structure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means a plan that outlines for each patient attainable short-term treatment goals that are mutually acceptable to the patient and the opioid treatment program and that specifies the services to be provided and the frequency and schedule for their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planning” </w:t>
      </w:r>
      <w:r>
        <w:rPr>
          <w:rFonts w:ascii="Times New Roman" w:hAnsi="Times New Roman"/>
          <w:b w:val="false"/>
          <w:i w:val="false"/>
          <w:color w:val="000000"/>
          <w:sz w:val="22"/>
        </w:rPr>
        <w:t>means the process, based on ongoing assessment, by which a patient and qualified staff identify and rank problems, establish agreed-upon goals, and decide on the treatment services and resources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management” </w:t>
      </w:r>
      <w:r>
        <w:rPr>
          <w:rFonts w:ascii="Times New Roman" w:hAnsi="Times New Roman"/>
          <w:b w:val="false"/>
          <w:i w:val="false"/>
          <w:color w:val="000000"/>
          <w:sz w:val="22"/>
        </w:rPr>
        <w:t>means the safe management of intoxication states and withdrawal states in accordance with the ASAM criteria and accepted standards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In accordance with Iowa Code section </w:t>
      </w:r>
      <w:hyperlink r:id="rId2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a person shall not maintain or conduct a substance use disorder program without having first obtained a license for the program from the department, and in accordance with Iowa Code section </w:t>
      </w:r>
      <w:hyperlink r:id="rId23">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xml:space="preserve">, a person shall not maintain or conduct a problem gambling treatment program funded by the department unless the person has obtained a license for the program from the department. The provision of treatment to a patient through any electronic means, regardless of the location of the program or facility, shall constitute the practice of treatment in the state of Iowa and shall be subject to regulation in accordance with Iowa Code chapter </w:t>
      </w:r>
      <w:hyperlink r:id="rId2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Iowa Code section </w:t>
      </w:r>
      <w:hyperlink r:id="rId25">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and these rules. An applicant shall apply for one license only. The department will award one license only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Program licenses. </w:t>
      </w:r>
      <w:r>
        <w:rPr>
          <w:rFonts w:ascii="Times New Roman" w:hAnsi="Times New Roman"/>
          <w:b w:val="false"/>
          <w:i w:val="false"/>
          <w:color w:val="000000"/>
          <w:sz w:val="22"/>
        </w:rPr>
        <w:t>The department will offer the following program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assessment and OWI evaluation-only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and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Licensed program services. </w:t>
      </w:r>
      <w:r>
        <w:rPr>
          <w:rFonts w:ascii="Times New Roman" w:hAnsi="Times New Roman"/>
          <w:b w:val="false"/>
          <w:i w:val="false"/>
          <w:color w:val="000000"/>
          <w:sz w:val="22"/>
        </w:rPr>
        <w:t xml:space="preserve">The license will delineate the licensed program service(s) the program is authorized to provide and will specify that each licensed program service is licensed for adults, juveniles, or adults and juveniles. Licensed program services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assessment and OWI evaluation only, provided by a substance use disorder assessment and OWI evaluation-only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Intensive 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Partial/day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Clinically managed medium-intensity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Medically monitored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Enhanced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Opioid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w:t>
      </w:r>
      <w:r>
        <w:rPr>
          <w:rFonts w:ascii="Times New Roman" w:hAnsi="Times New Roman"/>
          <w:b w:val="false"/>
          <w:i w:val="false"/>
          <w:color w:val="000000"/>
          <w:sz w:val="22"/>
        </w:rPr>
        <w:t> </w:t>
      </w:r>
      <w:r>
        <w:rPr>
          <w:rFonts w:ascii="Times New Roman" w:hAnsi="Times New Roman"/>
          <w:b w:val="false"/>
          <w:i/>
          <w:color w:val="000000"/>
          <w:sz w:val="22"/>
        </w:rPr>
        <w:t xml:space="preserve">Licensing body. </w:t>
      </w:r>
      <w:r>
        <w:rPr>
          <w:rFonts w:ascii="Times New Roman" w:hAnsi="Times New Roman"/>
          <w:b w:val="false"/>
          <w:i w:val="false"/>
          <w:color w:val="000000"/>
          <w:sz w:val="22"/>
        </w:rPr>
        <w:t>The department will consider and approve or deny all license applications, suspensions and revocations.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w:t>
      </w:r>
      <w:r>
        <w:rPr>
          <w:rFonts w:ascii="Times New Roman" w:hAnsi="Times New Roman"/>
          <w:b/>
          <w:i w:val="false"/>
          <w:color w:val="000000"/>
          <w:sz w:val="22"/>
        </w:rPr>
        <w:t xml:space="preserve">(125,135) </w:t>
      </w:r>
      <w:r>
        <w:rPr>
          <w:rFonts w:ascii="Times New Roman" w:hAnsi="Times New Roman"/>
          <w:b/>
          <w:i w:val="false"/>
          <w:color w:val="000000"/>
          <w:sz w:val="22"/>
        </w:rPr>
        <w:t xml:space="preserve">Types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155.3(1)</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initial license for 270 days to a new applicant scoring a minimum rating of 70 percent in each standards category on the licensure weighting report. An initial license shall expire in 270 days and shall not be extended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155.3(2)</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subsequent to an initial license for one, two, or three years based on the applicant’s rating on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95 percent or higher in each standards category may qualify for a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95 percent but not less than 90 percent in each standards category may qualify for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90 percent but not less than 70 percent in each standards category may qualify for a one-year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 for one, two, or three years shall expire on the date noted on the license and shall not be extended but may be renewed upon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155.3(3)</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under deemed status to an applicant providing required documentation of accreditation by a recognized accreditation body. A deemed-status license will be effective for the same time frame as that of the accreditation granted by the accreditation body,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641—155.4</w:t>
      </w:r>
      <w:r>
        <w:rPr>
          <w:rFonts w:ascii="Times New Roman" w:hAnsi="Times New Roman"/>
          <w:b/>
          <w:i w:val="false"/>
          <w:color w:val="000000"/>
          <w:sz w:val="22"/>
        </w:rPr>
        <w:t xml:space="preserve">(125,135) </w:t>
      </w:r>
      <w:r>
        <w:rPr>
          <w:rFonts w:ascii="Times New Roman" w:hAnsi="Times New Roman"/>
          <w:b/>
          <w:i w:val="false"/>
          <w:color w:val="000000"/>
          <w:sz w:val="22"/>
        </w:rPr>
        <w:t xml:space="preserve">Nonassignability.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A license issued by the department for the operation of a program applies both to the licensee and the facility in which the program is operated. A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A closing program is one that intends to cease providing licensed program services. The licensee shall notify the department 30 days before ceasing service provision. The licensee shall be responsible for the transition of patients to another program and for the preservation of all records. The licensee shall include in its notice to the department its plan to transition patients and locate records. When a program closes, the program’s license is void on the date the program ceases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A closed program is one that has ceased providing licensed program services. The licensee shall notify the department immediately of ceased service provision. The licensee shall be responsible for the transition of patients to another program and for the preservation of all records. The licensee shall include in its notice to the department its plan to transition patients and locate records. When a program is closed, the program’s license is void on the date the program ceased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person, facility or legal entity acquiring a licensed, closing or closed program for the purpose of operating a program shall apply for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641—155.5</w:t>
      </w:r>
      <w:r>
        <w:rPr>
          <w:rFonts w:ascii="Times New Roman" w:hAnsi="Times New Roman"/>
          <w:b/>
          <w:i w:val="false"/>
          <w:color w:val="000000"/>
          <w:sz w:val="22"/>
        </w:rPr>
        <w:t xml:space="preserve">(125,135)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department will provide license application forms on its website and at its office. An applicant shall submit application materials to the department. The department will proceed with inspection of the applicant upon receipt of a complete application. To be complete, an application must include all required materials and be responsive to all licensure standards,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Application information. </w:t>
      </w:r>
      <w:r>
        <w:rPr>
          <w:rFonts w:ascii="Times New Roman" w:hAnsi="Times New Roman"/>
          <w:b w:val="false"/>
          <w:i w:val="false"/>
          <w:color w:val="000000"/>
          <w:sz w:val="22"/>
        </w:rPr>
        <w:t>An applicant shall submit application materials on the forms provided and in the required format. Application materials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if the applicant is part of a larger organization, the name and address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applicant’s executive director and, if the applicant is part of a larger organization, the name and address of the executive director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titles, dates of employment, education, and years of current job-related experience of the applicant’s staff and the table of organization. If the applicant is part of a larger organization or has multiple organizational components and physical facilities, the relationships between the larger organization, organizational components and physical facilities must be shown on the table of organization, with the applicant and applicant’s staff positions clearly delineated.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members of the applicant’s governing body, sponsors, and advisory boards and the current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individuals, facilities, organizations, and legal entities with which the applicant has a contractual or affiliation agreement pertaining to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program services to be provided by the applicant and a calendar showing program services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physical facility, copies of reports substantiating compliance with federal, state and local laws, rules and regulations, to include appropriate department of inspections, appeals, and licensing rules; state fire marshal rules and fire ordinances; and local health, fire, occupancy,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for programs admitting juveniles as described under Iowa Code section </w:t>
      </w:r>
      <w:hyperlink r:id="rId26">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Fiscal management information, to include a recent audit or opinion of auditor and program board minutes to reflect approval of the program’s budget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Insurance coverage related to professional and general liability; building, if the applicant has a physical location; and workers’ compensation and fidelity bond, if the applicant has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address of each physical facility,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written policies and procedures manual that covers all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An applicant seeking to be licensed subsequent to a 270-day initial license or a licensee seeking to renew a one-, two-, or three-year license or to significantly change a currently licensed program shall submit an application at least 90 days before expiration of the current license or before the program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License under deemed status. </w:t>
      </w:r>
      <w:r>
        <w:rPr>
          <w:rFonts w:ascii="Times New Roman" w:hAnsi="Times New Roman"/>
          <w:b w:val="false"/>
          <w:i w:val="false"/>
          <w:color w:val="000000"/>
          <w:sz w:val="22"/>
        </w:rPr>
        <w:t>An organization seeking to be licensed under deemed status shall submit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641—155.6</w:t>
      </w:r>
      <w:r>
        <w:rPr>
          <w:rFonts w:ascii="Times New Roman" w:hAnsi="Times New Roman"/>
          <w:b/>
          <w:i w:val="false"/>
          <w:color w:val="000000"/>
          <w:sz w:val="22"/>
        </w:rPr>
        <w:t xml:space="preserve">(125,135) </w:t>
      </w:r>
      <w:r>
        <w:rPr>
          <w:rFonts w:ascii="Times New Roman" w:hAnsi="Times New Roman"/>
          <w:b/>
          <w:i w:val="false"/>
          <w:color w:val="000000"/>
          <w:sz w:val="22"/>
        </w:rPr>
        <w:t xml:space="preserve">Technical assistance. </w:t>
      </w:r>
      <w:r>
        <w:rPr>
          <w:rFonts w:ascii="Times New Roman" w:hAnsi="Times New Roman"/>
          <w:b w:val="false"/>
          <w:i w:val="false"/>
          <w:color w:val="000000"/>
          <w:sz w:val="22"/>
        </w:rPr>
        <w:t>The department may provide technical assistance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val="false"/>
          <w:color w:val="000000"/>
          <w:sz w:val="22"/>
        </w:rPr>
        <w:t>An applicant may request technical assistance regarding these rules and the licensure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val="false"/>
          <w:color w:val="000000"/>
          <w:sz w:val="22"/>
        </w:rPr>
        <w:t>A licensee may request technical assistance regarding these rules and the licensure process or to bring areas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licensee to receive technical assistance to bring areas of noncompliance with these rules into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641—155.7</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of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155.7(1)</w:t>
      </w:r>
      <w:r>
        <w:rPr>
          <w:rFonts w:ascii="Times New Roman" w:hAnsi="Times New Roman"/>
          <w:b w:val="false"/>
          <w:i w:val="false"/>
          <w:color w:val="000000"/>
          <w:sz w:val="22"/>
        </w:rPr>
        <w:t> </w:t>
      </w:r>
      <w:r>
        <w:rPr>
          <w:rFonts w:ascii="Times New Roman" w:hAnsi="Times New Roman"/>
          <w:b w:val="false"/>
          <w:i/>
          <w:color w:val="000000"/>
          <w:sz w:val="22"/>
        </w:rPr>
        <w:t xml:space="preserve">Inspection of applicants. </w:t>
      </w:r>
      <w:r>
        <w:rPr>
          <w:rFonts w:ascii="Times New Roman" w:hAnsi="Times New Roman"/>
          <w:b w:val="false"/>
          <w:i w:val="false"/>
          <w:color w:val="000000"/>
          <w:sz w:val="22"/>
        </w:rPr>
        <w:t>The department will inspect each applicant. Inspection will include review of the complete application and may include but may not be limited to review of patient records, review of applicant data reporting, and interviews with staff and patients. Inspection will include on-site inspection unless specifically waived as allowed under these rules. The department will send the applicant a report of inspection findings within 30 business days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155.7(2)</w:t>
      </w:r>
      <w:r>
        <w:rPr>
          <w:rFonts w:ascii="Times New Roman" w:hAnsi="Times New Roman"/>
          <w:b w:val="false"/>
          <w:i w:val="false"/>
          <w:color w:val="000000"/>
          <w:sz w:val="22"/>
        </w:rPr>
        <w:t> </w:t>
      </w:r>
      <w:r>
        <w:rPr>
          <w:rFonts w:ascii="Times New Roman" w:hAnsi="Times New Roman"/>
          <w:b w:val="false"/>
          <w:i/>
          <w:color w:val="000000"/>
          <w:sz w:val="22"/>
        </w:rPr>
        <w:t xml:space="preserve">On-site inspection. </w:t>
      </w:r>
      <w:r>
        <w:rPr>
          <w:rFonts w:ascii="Times New Roman" w:hAnsi="Times New Roman"/>
          <w:b w:val="false"/>
          <w:i w:val="false"/>
          <w:color w:val="000000"/>
          <w:sz w:val="22"/>
        </w:rPr>
        <w:t>The department will schedule an on-site inspection of an applicant within 60 business days of receipt of the applicant’s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on-site inspection of an applicant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applying to renew a license when the applicant’s licensed program services are limited to substance use disorder assessment and OWI evaluation services only, outpatient treatment, or intensive outpatient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applying for a license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provide advance notice of the on-site inspection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consist of designated employees or agents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inspect the applicant to verify application information and determine compliance with all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641—155.8</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License—approval. </w:t>
      </w:r>
      <w:r>
        <w:rPr>
          <w:rFonts w:ascii="Times New Roman" w:hAnsi="Times New Roman"/>
          <w:b w:val="false"/>
          <w:i w:val="false"/>
          <w:color w:val="000000"/>
          <w:sz w:val="22"/>
        </w:rPr>
        <w:t>The department will issue a license upon approval of an application. The license will be effective upon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641—155.9</w:t>
      </w:r>
      <w:r>
        <w:rPr>
          <w:rFonts w:ascii="Times New Roman" w:hAnsi="Times New Roman"/>
          <w:b/>
          <w:i w:val="false"/>
          <w:color w:val="000000"/>
          <w:sz w:val="22"/>
        </w:rPr>
        <w:t xml:space="preserve">(125,135) </w:t>
      </w:r>
      <w:r>
        <w:rPr>
          <w:rFonts w:ascii="Times New Roman" w:hAnsi="Times New Roman"/>
          <w:b/>
          <w:i w:val="false"/>
          <w:color w:val="000000"/>
          <w:sz w:val="22"/>
        </w:rPr>
        <w:t xml:space="preserve">Written corrective action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155.9(1)</w:t>
      </w:r>
      <w:r>
        <w:rPr>
          <w:rFonts w:ascii="Times New Roman" w:hAnsi="Times New Roman"/>
          <w:b w:val="false"/>
          <w:i w:val="false"/>
          <w:color w:val="000000"/>
          <w:sz w:val="22"/>
        </w:rPr>
        <w:t> </w:t>
      </w:r>
      <w:r>
        <w:rPr>
          <w:rFonts w:ascii="Times New Roman" w:hAnsi="Times New Roman"/>
          <w:b w:val="false"/>
          <w:i w:val="false"/>
          <w:color w:val="000000"/>
          <w:sz w:val="22"/>
        </w:rPr>
        <w:t>A program approved for a license shall submit a written corrective action plan to the department within 30 days following approval to bring any area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155.9(2)</w:t>
      </w:r>
      <w:r>
        <w:rPr>
          <w:rFonts w:ascii="Times New Roman" w:hAnsi="Times New Roman"/>
          <w:b w:val="false"/>
          <w:i w:val="false"/>
          <w:color w:val="000000"/>
          <w:sz w:val="22"/>
        </w:rPr>
        <w:t> </w:t>
      </w:r>
      <w:r>
        <w:rPr>
          <w:rFonts w:ascii="Times New Roman" w:hAnsi="Times New Roman"/>
          <w:b w:val="false"/>
          <w:i w:val="false"/>
          <w:color w:val="000000"/>
          <w:sz w:val="22"/>
        </w:rPr>
        <w:t>The written corrective action plan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area of noncompliance specified in the inspection findings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corrective measures to be taken by the program for each area of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completion date for each corrective measure.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641—155.10</w:t>
      </w:r>
      <w:r>
        <w:rPr>
          <w:rFonts w:ascii="Times New Roman" w:hAnsi="Times New Roman"/>
          <w:b/>
          <w:i w:val="false"/>
          <w:color w:val="000000"/>
          <w:sz w:val="22"/>
        </w:rPr>
        <w:t xml:space="preserve">(125,135) </w:t>
      </w:r>
      <w:r>
        <w:rPr>
          <w:rFonts w:ascii="Times New Roman" w:hAnsi="Times New Roman"/>
          <w:b/>
          <w:i w:val="false"/>
          <w:color w:val="000000"/>
          <w:sz w:val="22"/>
        </w:rPr>
        <w:t xml:space="preserve">Grounds for denial of license. </w:t>
      </w:r>
      <w:r>
        <w:rPr>
          <w:rFonts w:ascii="Times New Roman" w:hAnsi="Times New Roman"/>
          <w:b w:val="false"/>
          <w:i w:val="false"/>
          <w:color w:val="000000"/>
          <w:sz w:val="22"/>
        </w:rPr>
        <w:t>The department may deny an application for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155.10(1)</w:t>
      </w:r>
      <w:r>
        <w:rPr>
          <w:rFonts w:ascii="Times New Roman" w:hAnsi="Times New Roman"/>
          <w:b w:val="false"/>
          <w:i w:val="false"/>
          <w:color w:val="000000"/>
          <w:sz w:val="22"/>
        </w:rPr>
        <w:t> </w:t>
      </w:r>
      <w:r>
        <w:rPr>
          <w:rFonts w:ascii="Times New Roman" w:hAnsi="Times New Roman"/>
          <w:b w:val="false"/>
          <w:i w:val="false"/>
          <w:color w:val="000000"/>
          <w:sz w:val="22"/>
        </w:rPr>
        <w:t>The application is not complete, is not timely or otherwise does not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155.10(2)</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achieve the minimum licensure weighting report rating required for a 270-day initial license or a one-, two- or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155.10(3)</w:t>
      </w:r>
      <w:r>
        <w:rPr>
          <w:rFonts w:ascii="Times New Roman" w:hAnsi="Times New Roman"/>
          <w:b w:val="false"/>
          <w:i w:val="false"/>
          <w:color w:val="000000"/>
          <w:sz w:val="22"/>
        </w:rPr>
        <w:t> </w:t>
      </w:r>
      <w:r>
        <w:rPr>
          <w:rFonts w:ascii="Times New Roman" w:hAnsi="Times New Roman"/>
          <w:b w:val="false"/>
          <w:i w:val="false"/>
          <w:color w:val="000000"/>
          <w:sz w:val="22"/>
        </w:rPr>
        <w:t>Lack of patients or patient records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155.10(4)</w:t>
      </w:r>
      <w:r>
        <w:rPr>
          <w:rFonts w:ascii="Times New Roman" w:hAnsi="Times New Roman"/>
          <w:b w:val="false"/>
          <w:i w:val="false"/>
          <w:color w:val="000000"/>
          <w:sz w:val="22"/>
        </w:rPr>
        <w:t> </w:t>
      </w:r>
      <w:r>
        <w:rPr>
          <w:rFonts w:ascii="Times New Roman" w:hAnsi="Times New Roman"/>
          <w:b w:val="false"/>
          <w:i w:val="false"/>
          <w:color w:val="000000"/>
          <w:sz w:val="22"/>
        </w:rPr>
        <w:t>Violation of any of the following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fraudulent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by a program or staff of any statute or rule pertaining to programs, including violation of any provision of these rules, or failure to adhere to program policies and procedures adopted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licensure, inspection, health, fire, occupancy, safety, sanitation, zoning, or building codes or regulations required by federal, state or local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or revocation of accreditation by an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revocation, or refused issuance of a federal registration to distribute or dispense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Commission of or permitting, aiding or abetting commission of an unlawful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Conviction of a member of the governing body, a director, administrator, chief executive officer, or other managing staff person of a felony or misdemeanor related to the management, operation or integrity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determined to be detrimental to the general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Violation of a patient’s confidentiality or willful, substantial, or repeated violation of a patient’s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Defrauding a patient, potential patient, concerned person, visitor, staff or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Inappropriate conduct by staff, including sexual or other harassment or exploitation of a patient, potential patient, concerned person, visitor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Utilization of treatment techniques that endanger the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Discrimination or retaliation against a patient, potential patient, concerned person, visitor, staff, or member of the public who has submitted a complaint or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Failure to allow an employee or agent of the department access to the program or facility for the purpose of inspection, investigation, or other activity necessary to the performance of the department’s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submit an acceptable written corrective action plan or failure to comply with a corrective action plan issued pursuant to rule </w:t>
      </w:r>
      <w:hyperlink r:id="rId27">
        <w:r>
          <w:rPr>
            <w:rStyle w:val="Hyperlink"/>
            <w:rFonts w:ascii="Times New Roman" w:hAnsi="Times New Roman"/>
            <w:b w:val="false"/>
            <w:i w:val="false"/>
            <w:color w:val="000000"/>
            <w:sz w:val="22"/>
          </w:rPr>
          <w:t>641—155.9</w:t>
        </w:r>
      </w:hyperlink>
      <w:r>
        <w:rPr>
          <w:rFonts w:ascii="Times New Roman" w:hAnsi="Times New Roman"/>
          <w:b w:val="false"/>
          <w:i w:val="false"/>
          <w:color w:val="000000"/>
          <w:sz w:val="22"/>
        </w:rPr>
        <w:t xml:space="preserve">(125,135) or </w:t>
      </w:r>
      <w:hyperlink r:id="rId28">
        <w:r>
          <w:rPr>
            <w:rStyle w:val="Hyperlink"/>
            <w:rFonts w:ascii="Times New Roman" w:hAnsi="Times New Roman"/>
            <w:b w:val="false"/>
            <w:i w:val="false"/>
            <w:color w:val="000000"/>
            <w:sz w:val="22"/>
          </w:rPr>
          <w:t>641—155.16</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Violation of an order of the department or violating the terms or conditions of a consent agreement or informal settlement between a program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Denial, suspension or revocation of a license. </w:t>
      </w:r>
      <w:r>
        <w:rPr>
          <w:rFonts w:ascii="Times New Roman" w:hAnsi="Times New Roman"/>
          <w:b w:val="false"/>
          <w:i w:val="false"/>
          <w:color w:val="000000"/>
          <w:sz w:val="22"/>
        </w:rPr>
        <w:t xml:space="preserve">The department may deny an application for a license. The department may suspend or revoke a license for any of the grounds for discipline pursuant to subrule </w:t>
      </w:r>
      <w:hyperlink r:id="rId29">
        <w:r>
          <w:rPr>
            <w:rStyle w:val="Hyperlink"/>
            <w:rFonts w:ascii="Times New Roman" w:hAnsi="Times New Roman"/>
            <w:b w:val="false"/>
            <w:i w:val="false"/>
            <w:color w:val="000000"/>
            <w:sz w:val="22"/>
          </w:rPr>
          <w:t>155.10(4)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155.11(1)</w:t>
      </w:r>
      <w:r>
        <w:rPr>
          <w:rFonts w:ascii="Times New Roman" w:hAnsi="Times New Roman"/>
          <w:b w:val="false"/>
          <w:i w:val="false"/>
          <w:color w:val="000000"/>
          <w:sz w:val="22"/>
        </w:rPr>
        <w:t> </w:t>
      </w:r>
      <w:r>
        <w:rPr>
          <w:rFonts w:ascii="Times New Roman" w:hAnsi="Times New Roman"/>
          <w:b w:val="false"/>
          <w:i/>
          <w:color w:val="000000"/>
          <w:sz w:val="22"/>
        </w:rPr>
        <w:t xml:space="preserve">Initial notice from the department. </w:t>
      </w:r>
      <w:r>
        <w:rPr>
          <w:rFonts w:ascii="Times New Roman" w:hAnsi="Times New Roman"/>
          <w:b w:val="false"/>
          <w:i w:val="false"/>
          <w:color w:val="000000"/>
          <w:sz w:val="22"/>
        </w:rPr>
        <w:t xml:space="preserve">When the department determines to deny, suspend or revoke a one-, two-, or three-year license or a license under deemed status, the department will notify the applicant or licensee by certified mail, return receipt requested, in accordance with </w:t>
      </w:r>
      <w:hyperlink r:id="rId3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Such notice will provide the applicant or licensee the opportunity to submit a written corrective action plan or written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corrective action plan or objections. </w:t>
      </w:r>
      <w:r>
        <w:rPr>
          <w:rFonts w:ascii="Times New Roman" w:hAnsi="Times New Roman"/>
          <w:b w:val="false"/>
          <w:i w:val="false"/>
          <w:color w:val="000000"/>
          <w:sz w:val="22"/>
        </w:rPr>
        <w:t>An applicant notified of denial of a one-, two-, or three-year license or a license under deemed status or a licensee notified of suspension or revocation of a license may submit a written corrective action plan or written objections to the department within 20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 xml:space="preserve">The written corrective action plan must meet the requirements of paragraphs </w:t>
      </w:r>
      <w:hyperlink r:id="rId31">
        <w:r>
          <w:rPr>
            <w:rStyle w:val="Hyperlink"/>
            <w:rFonts w:ascii="Times New Roman" w:hAnsi="Times New Roman"/>
            <w:b w:val="false"/>
            <w:i w:val="false"/>
            <w:color w:val="000000"/>
            <w:sz w:val="22"/>
          </w:rPr>
          <w:t>155.9(1)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If the applicant or licensee submits a written corrective action plan, the applicant or licensee shall have 90 days from the date of submission within which to show compliance with the plan. The applicant or licensee shall submit any information to the department that the department requests or that the applicant or licensee deems pertinent to show compliance with the plan. The department may inspect the licensee, including on-site inspection, to review the implemented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If the applicant or licensee submits written objections, the applicant or licensee shall submit to the department any information that the department or the applicant or licensee deems pertinent to support the applicant’s or licensee’s defense.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155.11(3)</w:t>
      </w:r>
      <w:r>
        <w:rPr>
          <w:rFonts w:ascii="Times New Roman" w:hAnsi="Times New Roman"/>
          <w:b w:val="false"/>
          <w:i w:val="false"/>
          <w:color w:val="000000"/>
          <w:sz w:val="22"/>
        </w:rPr>
        <w:t> </w:t>
      </w:r>
      <w:r>
        <w:rPr>
          <w:rFonts w:ascii="Times New Roman" w:hAnsi="Times New Roman"/>
          <w:b w:val="false"/>
          <w:i/>
          <w:color w:val="000000"/>
          <w:sz w:val="22"/>
        </w:rPr>
        <w:t xml:space="preserve">Decision of department. </w:t>
      </w:r>
      <w:r>
        <w:rPr>
          <w:rFonts w:ascii="Times New Roman" w:hAnsi="Times New Roman"/>
          <w:b w:val="false"/>
          <w:i w:val="false"/>
          <w:color w:val="000000"/>
          <w:sz w:val="22"/>
        </w:rPr>
        <w:t>Following receipt of a written corrective action plan and expiration of the 90-day compliance period, or following receipt of written objections, or when a written corrective action plan or written objections have not been received within the 20-day time period, the department will determine whether to proceed with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155.11(4)</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and opportunity for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determines to deny, suspend, or revoke a license, the applicant or licensee shall be given written notice by restricted certified mail pursuant to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may request a hearing on the determination. The request must be in writing and sent to the department’s address within 30 days of the notice issued by the department. Failure to request a hearing will result in final action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155.11(5)</w:t>
      </w:r>
      <w:r>
        <w:rPr>
          <w:rFonts w:ascii="Times New Roman" w:hAnsi="Times New Roman"/>
          <w:b w:val="false"/>
          <w:i w:val="false"/>
          <w:color w:val="000000"/>
          <w:sz w:val="22"/>
        </w:rPr>
        <w:t> </w:t>
      </w:r>
      <w:r>
        <w:rPr>
          <w:rFonts w:ascii="Times New Roman" w:hAnsi="Times New Roman"/>
          <w:b w:val="false"/>
          <w:i/>
          <w:color w:val="000000"/>
          <w:sz w:val="22"/>
        </w:rPr>
        <w:t xml:space="preserve">Summary suspension. </w:t>
      </w:r>
      <w:r>
        <w:rPr>
          <w:rFonts w:ascii="Times New Roman" w:hAnsi="Times New Roman"/>
          <w:b w:val="false"/>
          <w:i w:val="false"/>
          <w:color w:val="000000"/>
          <w:sz w:val="22"/>
        </w:rPr>
        <w:t xml:space="preserve">If the department finds that the health, safety or welfare of the public is endangered by continued operation of a program, the department may order summary suspension of a license, pursuant to Iowa Code sections </w:t>
      </w:r>
      <w:hyperlink r:id="rId3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pending proceedings for revocation or other actions in accordance with Iowa Code sections </w:t>
      </w:r>
      <w:hyperlink r:id="rId3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These proceedings shall be promptly instituted and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641—155.12</w:t>
      </w:r>
      <w:r>
        <w:rPr>
          <w:rFonts w:ascii="Times New Roman" w:hAnsi="Times New Roman"/>
          <w:b w:val="false"/>
          <w:i w:val="false"/>
          <w:color w:val="000000"/>
          <w:sz w:val="22"/>
        </w:rPr>
        <w:t xml:space="preserve"> to </w:t>
      </w:r>
      <w:r>
        <w:rPr>
          <w:rFonts w:ascii="Times New Roman" w:hAnsi="Times New Roman"/>
          <w:b/>
          <w:i w:val="false"/>
          <w:color w:val="000000"/>
          <w:sz w:val="22"/>
        </w:rPr>
        <w:t>155.14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641—155.15</w:t>
      </w:r>
      <w:r>
        <w:rPr>
          <w:rFonts w:ascii="Times New Roman" w:hAnsi="Times New Roman"/>
          <w:b/>
          <w:i w:val="false"/>
          <w:color w:val="000000"/>
          <w:sz w:val="22"/>
        </w:rPr>
        <w:t xml:space="preserve">(125,135) </w:t>
      </w:r>
      <w:r>
        <w:rPr>
          <w:rFonts w:ascii="Times New Roman" w:hAnsi="Times New Roman"/>
          <w:b/>
          <w:i w:val="false"/>
          <w:color w:val="000000"/>
          <w:sz w:val="22"/>
        </w:rPr>
        <w:t xml:space="preserve">Issuance of a license after denial, suspension or revocation. </w:t>
      </w:r>
      <w:r>
        <w:rPr>
          <w:rFonts w:ascii="Times New Roman" w:hAnsi="Times New Roman"/>
          <w:b w:val="false"/>
          <w:i w:val="false"/>
          <w:color w:val="000000"/>
          <w:sz w:val="22"/>
        </w:rPr>
        <w:t>After denial, suspension, or revocation of a license, the former applicant or licensee shall not have a license issued within one year of the effective date of the denial, suspension or revocation. After one year, the former applicant or licensee may submit an application for a 270-day initial license. For purposes of this rule, “former applicant or licensee” includes any director, officer, administrator, chief executive officer, or other managing staff of the former applicant or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641—155.16</w:t>
      </w:r>
      <w:r>
        <w:rPr>
          <w:rFonts w:ascii="Times New Roman" w:hAnsi="Times New Roman"/>
          <w:b/>
          <w:i w:val="false"/>
          <w:color w:val="000000"/>
          <w:sz w:val="22"/>
        </w:rPr>
        <w:t xml:space="preserve">(125,135)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department against any program licensed pursuant to this chapter. The complaint shall be made in writing and shall be emailed, mailed or delivered to the department. The complaint shall include the name and address of the complainant, the name of the program, and a concise statement of the allegations against the program, including the specific alleged violations of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this chapter, if known. A complaint may also be initiated by the department when an emergency exists that is deemed to endanger the health, safety or welfare of a patient, potential patient, concerned person, visitor, staff or the public, pursuant to evidence received by the department. Timely filing of complaints is required to ensure the availability of witnesses and to avoid initiation of an investigation under conditions that may have been significantly altered during the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155.16(2)</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investigation. </w:t>
      </w:r>
      <w:r>
        <w:rPr>
          <w:rFonts w:ascii="Times New Roman" w:hAnsi="Times New Roman"/>
          <w:b w:val="false"/>
          <w:i w:val="false"/>
          <w:color w:val="000000"/>
          <w:sz w:val="22"/>
        </w:rPr>
        <w:t>Upon receipt of a complaint, the department will make a preliminary review of the allegations contained in the complaint. The department may request that the complainant submit the complaint to the program’s grievance process. Unless the department concludes that the complaint is intended solely to harass a program or lacks a reasonable basis, or is more reasonably addressed through the program’s grievance process, the department will conduct an investigation of the program that is the subject of the complaint as soon as is practicable. The program that is the subject of the complaint will be given an opportunity to informally respond to the allegations contained in the complaint either in writing or through a personal interview or conference with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155.16(3)</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Within 30 days after completion of the investigation, the department will prepare a written investigative report and submit it to the executive director of the program and the chairperson of the governing body of the program. This report will include the nature of the complaint and shall indicate if the complaint allegations were substantiated, unsubstantiated, or undetermined; the basis for the finding; the specific statutes or rules at issue; a response from the program, if received; and a recommendation for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155.16(4)</w:t>
      </w:r>
      <w:r>
        <w:rPr>
          <w:rFonts w:ascii="Times New Roman" w:hAnsi="Times New Roman"/>
          <w:b w:val="false"/>
          <w:i w:val="false"/>
          <w:color w:val="000000"/>
          <w:sz w:val="22"/>
        </w:rPr>
        <w:t> </w:t>
      </w:r>
      <w:r>
        <w:rPr>
          <w:rFonts w:ascii="Times New Roman" w:hAnsi="Times New Roman"/>
          <w:b w:val="false"/>
          <w:i/>
          <w:color w:val="000000"/>
          <w:sz w:val="22"/>
        </w:rPr>
        <w:t xml:space="preserve">Review of investigations. </w:t>
      </w:r>
      <w:r>
        <w:rPr>
          <w:rFonts w:ascii="Times New Roman" w:hAnsi="Times New Roman"/>
          <w:b w:val="false"/>
          <w:i w:val="false"/>
          <w:color w:val="000000"/>
          <w:sz w:val="22"/>
        </w:rPr>
        <w:t>The department will review the investigative report and determine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If the department determines that the allegations contained in the complaint are unsubstantiated, the department will close the case and promptly notify the complainant and the program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Further investigation. </w:t>
      </w:r>
      <w:r>
        <w:rPr>
          <w:rFonts w:ascii="Times New Roman" w:hAnsi="Times New Roman"/>
          <w:b w:val="false"/>
          <w:i w:val="false"/>
          <w:color w:val="000000"/>
          <w:sz w:val="22"/>
        </w:rPr>
        <w:t>The department may determine that the complaint warrants further investigation and may conduct an additional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If the department determines that the allegations contained in the complaint are substantiated and corrective action is warranted, the department may require the program to submit and comply with a written corrective action plan. A program shall submit a written corrective action plan to the department within 20 business days after receiving a request for such plan. The written corrective action plan shall include a plan for correcting areas of noncompliance as required by the department and a time frame within which such plan shall be implemented. The plan is subject to department approval. Requiring a written corrective action plan is not formal disciplinary action. Failure to submit or comply with a written corrective action plan may result in formal disciplinary action against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 xml:space="preserve">If the department determines the allegations contained in the complaint are substantiated and disciplinary action is warranted, the department may proceed with such action in accordance with rule </w:t>
      </w:r>
      <w:hyperlink r:id="rId39">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155.16(5)</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and public information. </w:t>
      </w:r>
      <w:r>
        <w:rPr>
          <w:rFonts w:ascii="Times New Roman" w:hAnsi="Times New Roman"/>
          <w:b w:val="false"/>
          <w:i w:val="false"/>
          <w:color w:val="000000"/>
          <w:sz w:val="22"/>
        </w:rPr>
        <w:t xml:space="preserve">Information contained in a complaint may be confidential pursuant to Iowa Code section </w:t>
      </w:r>
      <w:hyperlink r:id="rId4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w:t>
      </w:r>
      <w:hyperlink r:id="rId42">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or any other provision of state or federal law. Investigative reports, written corrective action plans, and all notices and orders issued pursuant to rule </w:t>
      </w:r>
      <w:hyperlink r:id="rId43">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refer to patients by number and shall not include patient identifying information. Investigative reports, written corrective action plans, and all notices and orders issued pursuant to rule </w:t>
      </w:r>
      <w:hyperlink r:id="rId44">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be available to the public as open records pursuant to Iowa Code chapter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641—155.17</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 revision. </w:t>
      </w:r>
      <w:r>
        <w:rPr>
          <w:rFonts w:ascii="Times New Roman" w:hAnsi="Times New Roman"/>
          <w:b w:val="false"/>
          <w:i w:val="false"/>
          <w:color w:val="000000"/>
          <w:sz w:val="22"/>
        </w:rPr>
        <w:t>A licensee shall submit a written request to the department to revise a license at least 30 days prior to any change of address, executive director, clinical oversight staff, facility, or licensed program service. The department will determine if the requested revision can be approved or if the change is significant enough to require the submission of an application for license renewal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641—155.18</w:t>
      </w:r>
      <w:r>
        <w:rPr>
          <w:rFonts w:ascii="Times New Roman" w:hAnsi="Times New Roman"/>
          <w:b/>
          <w:i w:val="false"/>
          <w:color w:val="000000"/>
          <w:sz w:val="22"/>
        </w:rPr>
        <w:t xml:space="preserve">(125,135) </w:t>
      </w:r>
      <w:r>
        <w:rPr>
          <w:rFonts w:ascii="Times New Roman" w:hAnsi="Times New Roman"/>
          <w:b/>
          <w:i w:val="false"/>
          <w:color w:val="000000"/>
          <w:sz w:val="22"/>
        </w:rPr>
        <w:t xml:space="preserve">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155.18(1)</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The department will approve a license under deemed status for an applicant accredited by a recognized national accreditation body when it determines that the accreditation is for the same licensed program services as those addressed by these rules and when such accreditation is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submit a copy of the entire accreditation body survey or inspection report, certificate of accreditation, accreditation conditions, and corrective action requirements and plans with the applicant’s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and accept an accreditation body’s survey or inspection report, certificate of accreditation, and conditions or corrective action plans as meeting the requirements for inspection for those licensed program services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be licensed only for licensed program services that are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be licensed for the same period of time as that for which the program is accredited,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155.18(2)</w:t>
      </w:r>
      <w:r>
        <w:rPr>
          <w:rFonts w:ascii="Times New Roman" w:hAnsi="Times New Roman"/>
          <w:b w:val="false"/>
          <w:i w:val="false"/>
          <w:color w:val="000000"/>
          <w:sz w:val="22"/>
        </w:rPr>
        <w:t> </w:t>
      </w:r>
      <w:r>
        <w:rPr>
          <w:rFonts w:ascii="Times New Roman" w:hAnsi="Times New Roman"/>
          <w:b w:val="false"/>
          <w:i/>
          <w:color w:val="000000"/>
          <w:sz w:val="22"/>
        </w:rPr>
        <w:t xml:space="preserve">National accreditation bodies. </w:t>
      </w:r>
      <w:r>
        <w:rPr>
          <w:rFonts w:ascii="Times New Roman" w:hAnsi="Times New Roman"/>
          <w:b w:val="false"/>
          <w:i w:val="false"/>
          <w:color w:val="000000"/>
          <w:sz w:val="22"/>
        </w:rPr>
        <w:t>The national accreditation bodies recognized for the purposes of licensure under deemed status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155.18(3)</w:t>
      </w:r>
      <w:r>
        <w:rPr>
          <w:rFonts w:ascii="Times New Roman" w:hAnsi="Times New Roman"/>
          <w:b w:val="false"/>
          <w:i w:val="false"/>
          <w:color w:val="000000"/>
          <w:sz w:val="22"/>
        </w:rPr>
        <w:t> </w:t>
      </w:r>
      <w:r>
        <w:rPr>
          <w:rFonts w:ascii="Times New Roman" w:hAnsi="Times New Roman"/>
          <w:b w:val="false"/>
          <w:i/>
          <w:color w:val="000000"/>
          <w:sz w:val="22"/>
        </w:rPr>
        <w:t xml:space="preserve">Credentials and expectations of accreditation bodies. </w:t>
      </w:r>
      <w:r>
        <w:rPr>
          <w:rFonts w:ascii="Times New Roman" w:hAnsi="Times New Roman"/>
          <w:b w:val="false"/>
          <w:i w:val="false"/>
          <w:color w:val="000000"/>
          <w:sz w:val="22"/>
        </w:rPr>
        <w:t>The accreditation credentials of an accreditation body shall specify the types of organizations, programs and services the body accredits.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programs licensed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meet all requirements of these rules and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may submit an application for licensure of licensed program services covered by these rules that are not covered by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155.18(5)</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department. </w:t>
      </w:r>
      <w:r>
        <w:rPr>
          <w:rFonts w:ascii="Times New Roman" w:hAnsi="Times New Roman"/>
          <w:b w:val="false"/>
          <w:i w:val="false"/>
          <w:color w:val="000000"/>
          <w:sz w:val="22"/>
        </w:rPr>
        <w:t>The department retains the following responsibilities and rights for deemed status applicants and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complaints in accordance with these rules and recommend and require corrective action or other sanctions. Complaints, findings, and required corrective action may be reported to the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and act upon a license under deemed status when complaints have been founded, when the national accreditation body identifies noncompliance with accreditation, when accreditation expires without renewal, or when accreditation is sanctioned, modified, terminated, withdrawn,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641—155.19</w:t>
      </w:r>
      <w:r>
        <w:rPr>
          <w:rFonts w:ascii="Times New Roman" w:hAnsi="Times New Roman"/>
          <w:b/>
          <w:i w:val="false"/>
          <w:color w:val="000000"/>
          <w:sz w:val="22"/>
        </w:rPr>
        <w:t xml:space="preserve">(125,135) </w:t>
      </w:r>
      <w:r>
        <w:rPr>
          <w:rFonts w:ascii="Times New Roman" w:hAnsi="Times New Roman"/>
          <w:b/>
          <w:i w:val="false"/>
          <w:color w:val="000000"/>
          <w:sz w:val="22"/>
        </w:rPr>
        <w:t xml:space="preserve">Funding. </w:t>
      </w:r>
      <w:r>
        <w:rPr>
          <w:rFonts w:ascii="Times New Roman" w:hAnsi="Times New Roman"/>
          <w:b w:val="false"/>
          <w:i w:val="false"/>
          <w:color w:val="000000"/>
          <w:sz w:val="22"/>
        </w:rPr>
        <w:t>The issuance of a license shall not be construed as a commitment on the part of either the state or federal government to provide funds to such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641—155.20</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w:t>
      </w:r>
      <w:r>
        <w:rPr>
          <w:rFonts w:ascii="Times New Roman" w:hAnsi="Times New Roman"/>
          <w:b w:val="false"/>
          <w:i w:val="false"/>
          <w:color w:val="000000"/>
          <w:sz w:val="22"/>
        </w:rPr>
        <w:t>An applicant or licensee agrees as a condition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155.20(1)</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enter into and inspect any and all programs and facilities for which a license has been applied or issued to verify information contained in the application or to ensure compliance with all laws, rules, and regulations relating thereto, during all hours of operation of said applicant or licensee and at any other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155.20(2)</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audit and collect statistical data from all records maintained by the applicant or licensee. An applicant or licensee that does not permit inspection by the department or examination of all records, including financial records, records pertaining to methods of administration, general and special dietary programs, and the disbursement of medications and methods of supply, and any other records the department deems relevant, will not be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641—155.21</w:t>
      </w:r>
      <w:r>
        <w:rPr>
          <w:rFonts w:ascii="Times New Roman" w:hAnsi="Times New Roman"/>
          <w:b/>
          <w:i w:val="false"/>
          <w:color w:val="000000"/>
          <w:sz w:val="22"/>
        </w:rPr>
        <w:t xml:space="preserve">(125,135) </w:t>
      </w:r>
      <w:r>
        <w:rPr>
          <w:rFonts w:ascii="Times New Roman" w:hAnsi="Times New Roman"/>
          <w:b/>
          <w:i w:val="false"/>
          <w:color w:val="000000"/>
          <w:sz w:val="22"/>
        </w:rPr>
        <w:t xml:space="preserve">General standards for all programs. </w:t>
      </w:r>
      <w:r>
        <w:rPr>
          <w:rFonts w:ascii="Times New Roman" w:hAnsi="Times New Roman"/>
          <w:b w:val="false"/>
          <w:i w:val="false"/>
          <w:color w:val="000000"/>
          <w:sz w:val="22"/>
        </w:rPr>
        <w:t>The following standards apply to all programs. For programs for which both the general standards and specific standards apply, both sets of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 xml:space="preserve">The program shall have a formally designated governing body that complies with Iowa Code chapter </w:t>
      </w:r>
      <w:hyperlink r:id="rId46">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that is the ultimate authority for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develop and adopt written bylaws and policies that define the powers and duties of the governing body, its committees, its advisory groups, and the executive director. These bylaws and policies shall be reviewed and revised by the governing body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bylaws shall minimally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frequency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attendance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quorum necessary to transact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maintain minutes of all meetings, and the minutes shall be available for review by the department and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members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Topics discussed;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Decisions reached and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duties of the governing body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Appointment of a qualified executive director, who shall have the responsibility and authority for the management of the program in accordance with the governing body’s established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of effective controls to ensure that quality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the program’s annual budget;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Approval of all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approve policies and procedures for the effective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be responsible for all funds, equipment, and supplies and the facility in which the program operates, if applicable. The governing body shall be responsible for the appropriateness and adequacy of services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at least annually prepare a report, which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occupation, and place of employment of each governing body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any family relationship a member of the governing body has with a program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owners or controlling parties, whether they are individuals, partnerships, a corporation body, or a subdivision of other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Disclosure of any potential conflict of interest a member of the governing body may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the program has malpractice, liability and workers’ compensation insurance for all staff and a fidelity bond that covers all staff,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shall have primary responsibility for program operations. The duties of the executive director shall be clearly defined in accordance with the policies established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155.21(3)</w:t>
      </w:r>
      <w:r>
        <w:rPr>
          <w:rFonts w:ascii="Times New Roman" w:hAnsi="Times New Roman"/>
          <w:b w:val="false"/>
          <w:i w:val="false"/>
          <w:color w:val="000000"/>
          <w:sz w:val="22"/>
        </w:rPr>
        <w:t> </w:t>
      </w:r>
      <w:r>
        <w:rPr>
          <w:rFonts w:ascii="Times New Roman" w:hAnsi="Times New Roman"/>
          <w:b w:val="false"/>
          <w:i/>
          <w:color w:val="000000"/>
          <w:sz w:val="22"/>
        </w:rPr>
        <w:t xml:space="preserve">Clinical oversight. </w:t>
      </w:r>
      <w:r>
        <w:rPr>
          <w:rFonts w:ascii="Times New Roman" w:hAnsi="Times New Roman"/>
          <w:b w:val="false"/>
          <w:i w:val="false"/>
          <w:color w:val="000000"/>
          <w:sz w:val="22"/>
        </w:rPr>
        <w:t>The program shall designate a treatment supervisor to oversee provision of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155.21(4)</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manual. </w:t>
      </w:r>
      <w:r>
        <w:rPr>
          <w:rFonts w:ascii="Times New Roman" w:hAnsi="Times New Roman"/>
          <w:b w:val="false"/>
          <w:i w:val="false"/>
          <w:color w:val="000000"/>
          <w:sz w:val="22"/>
        </w:rPr>
        <w:t>The program shall maintain and implement a written policies and procedures manual that documents the program’s compliance with these rules. The manual shall describe the program’s licensed program services and related activities, specify the policies and procedures to be followed, and govern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manual shall have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Revisions to the manual shall be entered with the date and with the name and title of the staff person making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155.21(5)</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and training. </w:t>
      </w:r>
      <w:r>
        <w:rPr>
          <w:rFonts w:ascii="Times New Roman" w:hAnsi="Times New Roman"/>
          <w:b w:val="false"/>
          <w:i w:val="false"/>
          <w:color w:val="000000"/>
          <w:sz w:val="22"/>
        </w:rPr>
        <w:t>The program’s policies and procedures shall establish a staff development and training plan that encompasses all staff and all licensed program services, considers the professional continuing education requirements of certified and licensed staff, and is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staff development and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person responsible for the staff development and training plan shall conduct an annual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describe orientation for new staff that includes an overview of the program and licensed program services, confidentiality, tuberculosis and bloodborne pathogens, including HIV/AIDS, and culturally and environmentally specific information. Orientation shall also address the specific responsibilities of each staff person and community resources specific to the staff person’s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address training when program operations or licensed program services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staff development and training plan may include on-site training activities. The program shall maintain minutes of on-site training that include the name and date of the training, the training topic, the name and title of the trainer, and the names of staff attending the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155.21(6)</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r>
        <w:rPr>
          <w:rFonts w:ascii="Times New Roman" w:hAnsi="Times New Roman"/>
          <w:b w:val="false"/>
          <w:i w:val="false"/>
          <w:color w:val="000000"/>
          <w:sz w:val="22"/>
        </w:rPr>
        <w:t>The program’s policies and procedures shall describe how the program reports required data to the department in accordance with department requirements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155.21(7)</w:t>
      </w:r>
      <w:r>
        <w:rPr>
          <w:rFonts w:ascii="Times New Roman" w:hAnsi="Times New Roman"/>
          <w:b w:val="false"/>
          <w:i w:val="false"/>
          <w:color w:val="000000"/>
          <w:sz w:val="22"/>
        </w:rPr>
        <w:t> </w:t>
      </w:r>
      <w:r>
        <w:rPr>
          <w:rFonts w:ascii="Times New Roman" w:hAnsi="Times New Roman"/>
          <w:b w:val="false"/>
          <w:i/>
          <w:color w:val="000000"/>
          <w:sz w:val="22"/>
        </w:rPr>
        <w:t xml:space="preserve">Fiscal management. </w:t>
      </w:r>
      <w:r>
        <w:rPr>
          <w:rFonts w:ascii="Times New Roman" w:hAnsi="Times New Roman"/>
          <w:b w:val="false"/>
          <w:i w:val="false"/>
          <w:color w:val="000000"/>
          <w:sz w:val="22"/>
        </w:rPr>
        <w:t>The program’s policies and procedures shall ensure proper fiscal management,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preparation and maintenance of an annual written budget, which shall be reviewed and approved by the governing body prior to the beginning of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fiscal management system maintained in accordance with generally accepted accounting principles, including internal controls to reasonably protect program assets. This shall be verified by an annual independent fiscal audit of the program by the state auditor’s office or a certified public accountant based on an agreement entered into by the governing body. A program with an annual budget of $100,000 or less shall conduct a fiscal audit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insurance program that provides for the protection of the physical and financial resources of the program and provides coverage for all people, buildings, and equipment. The insurance program shall be reviewed annually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155.21(8)</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program shall have personnel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and selection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 and salary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Vacation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actions and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Methods for handling cases of inappropriate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Work performance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Staff accidents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Americans with Disabilities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Drug-Free Workplace Act as amended to August 1,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Use of social media;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for each position and each staff person a written job description that describes the duties of each position and staff and the qualifications required for each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staff person providing screening, OWI evaluation, assessment or treatment services in accordance with these rules shall be qualified as an addictive disorder professional by meeting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certified or licensed as a substance use disorder or problem gambling counselor by a national or state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marital and family therapist or a mental health counselor under Iowa Code chapters </w:t>
      </w:r>
      <w:hyperlink r:id="rId47">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 independent social worker under Iowa Code chapters </w:t>
      </w:r>
      <w:hyperlink r:id="rId4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or another independent professional authorized by the Iowa Code to diagnose and treat mental disorders as specified 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master social worker under Iowa Code chapters </w:t>
      </w:r>
      <w:hyperlink r:id="rId5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bachelor social worker under Iowa Code chapters </w:t>
      </w:r>
      <w:hyperlink r:id="rId53">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temporarily or provisionally certified or licensed as allowed under a certification or license acceptable to the department. Such staff person must meet all requirements of the temporary or provisional certification or license, must be supervised by a staff person meeting one of the requirements of paragraphs “1” through “4” above, and must be fully certified or licensed within two years of the date on which the person began to provide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staff person employed on and after July 1, 2010, who is not qualified as described in any of the paragraphs “1” through “5” above shall be deemed qualified while the person is in the process of being certified or licensed under a certification or license acceptable to the department. Such staff must meet the requirements of the certification or licensure process, must be supervised by a staff person meeting one of the requirements of paragraphs “1” through “4” above, and must be fully certified or licensed within two years of the date on which the person began to provide licensed program services. The two-year time frame is continuous from the person’s date of first employment by the program, including if the person changes employment from one program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person employed before July 1, 2010, and continuously since that date at a program licensed pursuant to this chapter, who is not qualified as described in any of the paragraphs “1” through “5” above, shall be deemed qualified as long as such person remains employed by that program and that program remains licensed. Such staff shall maintain a minimum of 30 hours of training every two years, including a minimum of 3 hours of ethics training, and shall be supervised by a staff person meeting at least one of the conditions of paragraphs “1” through “4”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review job descriptions annually and whenever there is a change in a position’s duties or required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job descriptions in the personnel section of the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a written evaluation of job performance with each staff person at least annually. The evaluation shall include the opportunity for the staff person to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personnel record on each staff person. The record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training, experience, qualifications, and professional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performance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Disciplinary action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review of and agreement to adhere to confidentiality laws and regulations. This review and agreement shall occur prior to the staff person’s assumption of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ensure confidentiality of personnel records and shall specify staff authorized to have access to personnel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department in writing within ten days of being informed that a staff person has been sanctioned or disciplined by a certifying or licensing body. Such notice shall include the sanction or discipline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155.21(9)</w:t>
      </w:r>
      <w:r>
        <w:rPr>
          <w:rFonts w:ascii="Times New Roman" w:hAnsi="Times New Roman"/>
          <w:b w:val="false"/>
          <w:i w:val="false"/>
          <w:color w:val="000000"/>
          <w:sz w:val="22"/>
        </w:rPr>
        <w:t> </w:t>
      </w:r>
      <w:r>
        <w:rPr>
          <w:rFonts w:ascii="Times New Roman" w:hAnsi="Times New Roman"/>
          <w:b w:val="false"/>
          <w:i/>
          <w:color w:val="000000"/>
          <w:sz w:val="22"/>
        </w:rPr>
        <w:t xml:space="preserve">Child abuse, dependent adult abuse and criminal history background checks. </w:t>
      </w:r>
      <w:r>
        <w:rPr>
          <w:rFonts w:ascii="Times New Roman" w:hAnsi="Times New Roman"/>
          <w:b w:val="false"/>
          <w:i w:val="false"/>
          <w:color w:val="000000"/>
          <w:sz w:val="22"/>
        </w:rPr>
        <w:t>The program’s policies and procedures shall address child abuse, dependent adult abuse and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prohibit mistreatment, neglect, or abuse of children and dependent adults and shall specify reporting and enforcement procedures. Alleged violations shall be reported immediately to the program’s executive director and appropriate department personnel. Policies and procedures on reporting alleged violations shall be in compliance with subrule </w:t>
      </w:r>
      <w:hyperlink r:id="rId55">
        <w:r>
          <w:rPr>
            <w:rStyle w:val="Hyperlink"/>
            <w:rFonts w:ascii="Times New Roman" w:hAnsi="Times New Roman"/>
            <w:b w:val="false"/>
            <w:i w:val="false"/>
            <w:color w:val="000000"/>
            <w:sz w:val="22"/>
          </w:rPr>
          <w:t>155.21(10)</w:t>
        </w:r>
      </w:hyperlink>
      <w:r>
        <w:rPr>
          <w:rFonts w:ascii="Times New Roman" w:hAnsi="Times New Roman"/>
          <w:b w:val="false"/>
          <w:i w:val="false"/>
          <w:color w:val="000000"/>
          <w:sz w:val="22"/>
        </w:rPr>
        <w:t xml:space="preserve">. A staff person found to be in violation of Iowa Code sections </w:t>
      </w:r>
      <w:hyperlink r:id="rId56">
        <w:r>
          <w:rPr>
            <w:rStyle w:val="Hyperlink"/>
            <w:rFonts w:ascii="Times New Roman" w:hAnsi="Times New Roman"/>
            <w:b w:val="false"/>
            <w:i w:val="false"/>
            <w:color w:val="000000"/>
            <w:sz w:val="22"/>
          </w:rPr>
          <w:t>232.67</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as substantiated by a department investigation, shall be subject to the program’s policies concerning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staff person working with juveniles as set forth in Iowa Code section </w:t>
      </w:r>
      <w:hyperlink r:id="rId58">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with dependent adults as set forth in Iowa Code chapter </w:t>
      </w:r>
      <w:hyperlink r:id="rId5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the personnel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a criminal history background check with the Iowa division of criminal investigation on all new staff applicants. The background check shall include asking whether the applicant has been convicted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a new staff applicant that discloses any substantiated report of child abuse, neglect or sexual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a check prior to permanent acceptance of a person as staff, with the Iowa central registry for any substantiated reports of child abuse, neglect or sexual abuse pursuant to Iowa Code section </w:t>
      </w:r>
      <w:hyperlink r:id="rId60">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substantiated reports of dependent adult abuse for all staff hired or accepted on or after July 1, 1994, pursuant to Iowa Code chapter </w:t>
      </w:r>
      <w:hyperlink r:id="rId61">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has a record of a criminal conviction or founded child abuse report or founded dependent adult abuse report shall not be hired or accepted as staff unless an evaluation of the crime or founded child abuse or founded dependent adult abuse has been made by the department  that concludes that the crime or founded child abuse or founded dependent adult abuse does not merit prohibition of employment. If a record of criminal conviction or founded child abuse or founded dependent adult abuse does exist, the person shall be offered the opportunity to complete and submit a Record Check Evaluation form. In its evaluation, the department will consider the nature and seriousness of the crime or founded abuse in relation to the position sought, the time elapsed since the commission of the crime or founded abuse, the circumstances under which the crime or founded abuse was committed, the degree of rehabilitation and 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staff person providing screening, OWI evaluation, assessment or treatment in accordance with this chapter shall complete the department’s core training curriculum pursuant to Iowa Code sections </w:t>
      </w:r>
      <w:hyperlink r:id="rId6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within six months of initial employment or self-employment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155.21(10)</w:t>
      </w:r>
      <w:r>
        <w:rPr>
          <w:rFonts w:ascii="Times New Roman" w:hAnsi="Times New Roman"/>
          <w:b w:val="false"/>
          <w:i w:val="false"/>
          <w:color w:val="000000"/>
          <w:sz w:val="22"/>
        </w:rPr>
        <w:t> </w:t>
      </w:r>
      <w:r>
        <w:rPr>
          <w:rFonts w:ascii="Times New Roman" w:hAnsi="Times New Roman"/>
          <w:b w:val="false"/>
          <w:i/>
          <w:color w:val="000000"/>
          <w:sz w:val="22"/>
        </w:rPr>
        <w:t xml:space="preserve">Patient records. </w:t>
      </w:r>
      <w:r>
        <w:rPr>
          <w:rFonts w:ascii="Times New Roman" w:hAnsi="Times New Roman"/>
          <w:b w:val="false"/>
          <w:i w:val="false"/>
          <w:color w:val="000000"/>
          <w:sz w:val="22"/>
        </w:rPr>
        <w:t>The program’s policies and procedures shall describe compilation, storage and dissemination of patient records and release or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protects the patient record against loss, tampering or unauthorized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and format of patient records are uniform;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entries in the patient record are in chronological order, signed, dated and legible. When records are maintained electronically, a staff identification code number authorizing access shall be accepted in lieu of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entry in the patient record is made in permanent ink, by typewriter, or by computer;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Entries in the patient record use language consistent with generally accepted standards of practice and do not include abstract terms, technical jargon or slang.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adequate physical facilities for the secure storage, processing and handling of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patient records shall be readily accessible to staff as specifically authorized by program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appropriately maintain and dispose of patient records. Patient records shall be maintained for not less than seven years from the date they are officially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file cabinet or storage area containing patient records shall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release or disclose information on individuals seeking program services or on patients in strict accordance with the Health Insurance Portability and Accountability Act (HIPAA) as amended to August 1, 2025, and state and federal confidentiality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substance use disorder patient records and information is protected by HIPAA as amended to August 1, 2025, and the regulations on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which implement federal statutory provisions, </w:t>
      </w:r>
      <w:r>
        <w:rPr>
          <w:rFonts w:ascii="Times New Roman" w:hAnsi="Times New Roman"/>
          <w:b w:val="false"/>
          <w:i w:val="false"/>
          <w:color w:val="000000"/>
          <w:sz w:val="22"/>
        </w:rPr>
        <w:t>42 U.S.C. 290d</w:t>
      </w:r>
      <w:r>
        <w:rPr>
          <w:rFonts w:ascii="Times New Roman" w:hAnsi="Times New Roman"/>
          <w:b w:val="false"/>
          <w:i w:val="false"/>
          <w:color w:val="000000"/>
          <w:sz w:val="22"/>
        </w:rPr>
        <w:t xml:space="preserve">d-2 applicable to alcohol abuse patient records, and </w:t>
      </w:r>
      <w:r>
        <w:rPr>
          <w:rFonts w:ascii="Times New Roman" w:hAnsi="Times New Roman"/>
          <w:b w:val="false"/>
          <w:i w:val="false"/>
          <w:color w:val="000000"/>
          <w:sz w:val="22"/>
        </w:rPr>
        <w:t>42 U.S.C. 290e</w:t>
      </w:r>
      <w:r>
        <w:rPr>
          <w:rFonts w:ascii="Times New Roman" w:hAnsi="Times New Roman"/>
          <w:b w:val="false"/>
          <w:i w:val="false"/>
          <w:color w:val="000000"/>
          <w:sz w:val="22"/>
        </w:rPr>
        <w:t>e-3 both as amended to August 1, 2025, applicable to drug abuse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problem gambling patient records and information is protected by HIPAA as amended to August 1, 2025, Iowa Code chapter </w:t>
      </w:r>
      <w:hyperlink r:id="rId6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section </w:t>
      </w:r>
      <w:hyperlink r:id="rId65">
        <w:r>
          <w:rPr>
            <w:rStyle w:val="Hyperlink"/>
            <w:rFonts w:ascii="Times New Roman" w:hAnsi="Times New Roman"/>
            <w:b w:val="false"/>
            <w:i w:val="false"/>
            <w:color w:val="000000"/>
            <w:sz w:val="22"/>
          </w:rPr>
          <w:t>22.7(35)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program that provides licensed program services via electronic means shall inform the patient of the limitations and risks associated with such services and shall document in the patient record that such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properly executed written release of information or authorization to disclose signed by the patient, the program shall release patient records in a timely manner. A program shall not refuse to release patient records related to continuation of care solely because payment has not been received. A program may refuse to release patient records that are unrelated to continuation of care if payment has not been received. A program may refuse to file the reporting form required by </w:t>
      </w:r>
      <w:hyperlink r:id="rId66">
        <w:r>
          <w:rPr>
            <w:rStyle w:val="Hyperlink"/>
            <w:rFonts w:ascii="Times New Roman" w:hAnsi="Times New Roman"/>
            <w:b w:val="false"/>
            <w:i w:val="false"/>
            <w:color w:val="000000"/>
            <w:sz w:val="22"/>
          </w:rPr>
          <w:t>641—subrule 157.3(1)</w:t>
        </w:r>
      </w:hyperlink>
      <w:r>
        <w:rPr>
          <w:rFonts w:ascii="Times New Roman" w:hAnsi="Times New Roman"/>
          <w:b w:val="false"/>
          <w:i w:val="false"/>
          <w:color w:val="000000"/>
          <w:sz w:val="22"/>
        </w:rPr>
        <w:t xml:space="preserve">, “Notice Iowa Code </w:t>
      </w:r>
      <w:hyperlink r:id="rId6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—Confidential Medical Record,” reporting screening, evaluation, and treatment completion, if payment has not been received for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155.21(11)</w:t>
      </w:r>
      <w:r>
        <w:rPr>
          <w:rFonts w:ascii="Times New Roman" w:hAnsi="Times New Roman"/>
          <w:b w:val="false"/>
          <w:i w:val="false"/>
          <w:color w:val="000000"/>
          <w:sz w:val="22"/>
        </w:rPr>
        <w:t> </w:t>
      </w:r>
      <w:r>
        <w:rPr>
          <w:rFonts w:ascii="Times New Roman" w:hAnsi="Times New Roman"/>
          <w:b w:val="false"/>
          <w:i/>
          <w:color w:val="000000"/>
          <w:sz w:val="22"/>
        </w:rPr>
        <w:t xml:space="preserve">Assessment and admission. </w:t>
      </w:r>
      <w:r>
        <w:rPr>
          <w:rFonts w:ascii="Times New Roman" w:hAnsi="Times New Roman"/>
          <w:b w:val="false"/>
          <w:i w:val="false"/>
          <w:color w:val="000000"/>
          <w:sz w:val="22"/>
        </w:rPr>
        <w:t>The program’s policies and procedures shall address screening, assessment, referral and admission and documentation of such activities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an assessment with each patient prior to admission unless the patient’s current risk factors indicate a need for immediate 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program admits a patient based on a screening or initial assessment that indicates the patient requires immediate admission, that screening or initial assessment must be updated and expanded to a full assessment when the patient’s current risk factors are stabilized.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be documented in the patient record and shall be organized in a manner that supports development of a treatment plan by the program or by any program to which the patient is referred.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implement a uniform assessment process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to be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accepting a referral from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referring a patient to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problem gambling treatment program, or substance use disorder and problem gambling treatment program shall update the assessment on an ongoing basis, when clinically indicated, and within the periods of time specified for each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each assessment shall be clearly explained to the patient, and to the patient’s family when appropriate, and such explanation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time of admission, a substance use disorder treatment program, problem gambling treatment program, or substance use disorder and problem gambling treatment program shall document that the patient has been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Rules governing patient conduct and infractions that can lead to disciplinary action or discharge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hours during which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to be borne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Confidentiality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155.21(12)</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developing individualized treatment plans based on ongoing assessment and documentation of such plans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initiate development of the treatment plan as soon after the patient’s admission as is clinically feasible and within the period of time between admission and the review date specified for that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minimally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assessment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short- and long-term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planned treatment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staff responsible for the patient’s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Culturally and environmentally specific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develop each treatment plan in partnership with the patient, with patient participation documented in the patient record. The treatment plan shall be written in a manner clearly understandable to the patient. Staff shall give the patient a copy of each treatment plan. The patient and staff shall review and revise the treatment plan when clinically indicated and in accordance with the time frames specified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plan reviews shall be based on ongoing assessment and shall specify the indicated level of care and licensed program services and any revision of treatment plan goals. The date of the review and any revision of the treatment plan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155.21(13)</w:t>
      </w:r>
      <w:r>
        <w:rPr>
          <w:rFonts w:ascii="Times New Roman" w:hAnsi="Times New Roman"/>
          <w:b w:val="false"/>
          <w:i w:val="false"/>
          <w:color w:val="000000"/>
          <w:sz w:val="22"/>
        </w:rPr>
        <w:t> </w:t>
      </w:r>
      <w:r>
        <w:rPr>
          <w:rFonts w:ascii="Times New Roman" w:hAnsi="Times New Roman"/>
          <w:b w:val="false"/>
          <w:i/>
          <w:color w:val="000000"/>
          <w:sz w:val="22"/>
        </w:rPr>
        <w:t xml:space="preserve">Progress notes.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reviewing a patient’s current status and progress in meeting treatment plan goals and documenting such review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Progress notes shall include the date each service was provided or observation was made and the name and title of the staff person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shall enter a progress note following each individual counseling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enter a summary progress note at least weekly for group counseling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Progress notes that involve subjective interpretations of a patient’s status or progress should be supplemented with a description of the behavioral observations that were the basis for the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155.21(14)</w:t>
      </w:r>
      <w:r>
        <w:rPr>
          <w:rFonts w:ascii="Times New Roman" w:hAnsi="Times New Roman"/>
          <w:b w:val="false"/>
          <w:i w:val="false"/>
          <w:color w:val="000000"/>
          <w:sz w:val="22"/>
        </w:rPr>
        <w:t> </w:t>
      </w:r>
      <w:r>
        <w:rPr>
          <w:rFonts w:ascii="Times New Roman" w:hAnsi="Times New Roman"/>
          <w:b w:val="false"/>
          <w:i/>
          <w:color w:val="000000"/>
          <w:sz w:val="22"/>
        </w:rPr>
        <w:t xml:space="preserve">Patient record contents. </w:t>
      </w:r>
      <w:r>
        <w:rPr>
          <w:rFonts w:ascii="Times New Roman" w:hAnsi="Times New Roman"/>
          <w:b w:val="false"/>
          <w:i w:val="false"/>
          <w:color w:val="000000"/>
          <w:sz w:val="22"/>
        </w:rPr>
        <w:t>The program’s policies and procedures shall require that a record be maintained for each patient and shall specify the contents of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any physical examination or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report from a referring source or outside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Notes from any case conference, consultation, care coordination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correspondence related to the patient, including letters, electronic communications and telephone conversations;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treatment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release of information or authorization to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Notes on any service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substance use disorder treatment programs, problem gambling treatment programs, and substance use disorder and problem gambling treatment programs, the patient record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Management-of-care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records, which shall allow for the monitoring of all medications administered and self-administered and detection of adverse drug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Discharge summaries completed within 30 days of discharge, which shall be sufficiently detailed to identify the types of services the patient received, action taken to address specific problems identified, and plans for services and referrals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problem gambling treatment programs and substance use disorder and problem gambling treatment programs, the patient record shall also include documentation of financial counseling services that assist problem gambling patients in preparing a budget and addressing financial debt options, including restitution and bankruptcy.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155.21(15)</w:t>
      </w:r>
      <w:r>
        <w:rPr>
          <w:rFonts w:ascii="Times New Roman" w:hAnsi="Times New Roman"/>
          <w:b w:val="false"/>
          <w:i w:val="false"/>
          <w:color w:val="000000"/>
          <w:sz w:val="22"/>
        </w:rPr>
        <w:t> </w:t>
      </w:r>
      <w:r>
        <w:rPr>
          <w:rFonts w:ascii="Times New Roman" w:hAnsi="Times New Roman"/>
          <w:b w:val="false"/>
          <w:i/>
          <w:color w:val="000000"/>
          <w:sz w:val="22"/>
        </w:rPr>
        <w:t xml:space="preserve">Drug screening. </w:t>
      </w:r>
      <w:r>
        <w:rPr>
          <w:rFonts w:ascii="Times New Roman" w:hAnsi="Times New Roman"/>
          <w:b w:val="false"/>
          <w:i w:val="false"/>
          <w:color w:val="000000"/>
          <w:sz w:val="22"/>
        </w:rPr>
        <w:t>The program’s policies and procedures shall address collection of drug-screening specimens and utilization of drug-screening results. Such policies may state that the program does not conduct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specimen obtained from a patient shall be collected under direct supervision and analyzed in accordance with program policies, or the program shall have a policy in place to reduce the patient’s ability to alter the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laboratory used by the program for drug screening and analysis shall comply with federal and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conducting on-site drug screening shall comply with the Clinical Laboratory Improvement Act regulations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manner in which drug-screening results are utilized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155.21(16)</w:t>
      </w:r>
      <w:r>
        <w:rPr>
          <w:rFonts w:ascii="Times New Roman" w:hAnsi="Times New Roman"/>
          <w:b w:val="false"/>
          <w:i w:val="false"/>
          <w:color w:val="000000"/>
          <w:sz w:val="22"/>
        </w:rPr>
        <w:t> </w:t>
      </w:r>
      <w:r>
        <w:rPr>
          <w:rFonts w:ascii="Times New Roman" w:hAnsi="Times New Roman"/>
          <w:b w:val="false"/>
          <w:i/>
          <w:color w:val="000000"/>
          <w:sz w:val="22"/>
        </w:rPr>
        <w:t xml:space="preserve">Medical and mental health services. </w:t>
      </w:r>
      <w:r>
        <w:rPr>
          <w:rFonts w:ascii="Times New Roman" w:hAnsi="Times New Roman"/>
          <w:b w:val="false"/>
          <w:i w:val="false"/>
          <w:color w:val="000000"/>
          <w:sz w:val="22"/>
        </w:rPr>
        <w:t>The program’s policies and procedures shall address patient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biomedical conditions and complications as described in the ASAM criteria, the program shall take a medical history and perform a physical examination and necessary laboratory tests as follows for patients admitted to the level of care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and clinically managed medium-intensity residential treatment: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within 21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Crisis stabilization services and opioid treatment program services: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may accept a medical history or physical examination from a qualified source if the history or examination was completed no more than 90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emotional, behavioral, and cognitive conditions and complications as described in the ASAM criteria, a program may accept a mental health history from a qualified source if the history was completed no more than three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155.21(17)</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The program’s policies and procedures shall address the availability of emergency services for substance use disorders and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services may be provided by the program or by any other qualified individual, institution, facility,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the availability of emergency services by posting notice at facilities, having a recorded message on the program’s telephone system, posting notice on the program’s website and through program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155.21(18)</w:t>
      </w:r>
      <w:r>
        <w:rPr>
          <w:rFonts w:ascii="Times New Roman" w:hAnsi="Times New Roman"/>
          <w:b w:val="false"/>
          <w:i w:val="false"/>
          <w:color w:val="000000"/>
          <w:sz w:val="22"/>
        </w:rPr>
        <w:t> </w:t>
      </w:r>
      <w:r>
        <w:rPr>
          <w:rFonts w:ascii="Times New Roman" w:hAnsi="Times New Roman"/>
          <w:b w:val="false"/>
          <w:i/>
          <w:color w:val="000000"/>
          <w:sz w:val="22"/>
        </w:rPr>
        <w:t xml:space="preserve">Medication control. </w:t>
      </w:r>
      <w:r>
        <w:rPr>
          <w:rFonts w:ascii="Times New Roman" w:hAnsi="Times New Roman"/>
          <w:b w:val="false"/>
          <w:i w:val="false"/>
          <w:color w:val="000000"/>
          <w:sz w:val="22"/>
        </w:rPr>
        <w:t xml:space="preserve">The program’s policies and procedures shall describe how medications are administered or self-administered in accordance with federal, state and local laws, rules and regulations. Such policies may state that the program does not conduct medication administration or self-administration.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authorized to administer medications shall be qualified, and a current list of such staff shall be maintained.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only in accordance with the instructions of the attending prescriber. The type and amount of the medication, the time and date, and the staff person administering the medication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 shall be observed by a staff person who has been oriented to the program’s policies and procedures on self-administration. Self-administration of medication shall be permitted only when the patient’s medication is clearly labeled. The policies and procedures on self-administration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are ordered or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prescriber agrees that the patient can self-administer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medication taken and how and when the medication is taken are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shall not be administered to or self-administered by a patient without a written order signed by a prescriber. All prescribed medications shall be clearly labeled indicating the patient’s full name, the prescriber’s name, the prescription number, the name and strength of the medication, the dosage, the directions for use, and the date of issue and the name, address and telephone number of the pharmacy or prescriber issuing the medication. Medications shall be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medication the patient brings to the program is not used, it shall be packaged, sealed and stored. The sealed package of medication shall be returned to the patient, family or designee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Accountability and control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 specific routine for medication administration, indicating dose schedules and standardization of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specific methods for control and accountability of medication products throughout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staff person in charge of medications shall provide for monthly inspection of all storage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containers having soiled, damaged, illegible, or makeshift labels shall be returned to the issuing pharmacist, pharmacy, or prescriber for relabeling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Unused prescription medication prescribed for a patient who leaves a program without the patient’s medication shall be destroyed by a staff person with a staff witness, and a notation shall be made in the patient record. When a patient is discharged or leaves the program, medication currently being administered shall be sent, in the original container, with the patient or with a responsible agent, as approved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storage shall be maintained in accordance with the security requirements of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medication shall be maintained in locked storage. Controlled substances shall be maintained in a locked box within the locked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Disinfectants and medication for external use shall be stored separately from internal and injectable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patient shall be stored in the original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poisonous or caustic medication shall be plainly labeled; stored separately from other medication in a specific well-illuminated cabinet, closet, or storeroom and made accessible only to authorized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provided to a patient shall be dispensed only from a licensed pharmacy in the state of Iowa in accordance with the pharmacy laws in the Iowa Code, from a licensed pharmacy in another state according to the laws of that state, or by a licensed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prescribed for one patient shall not be administered to or allowed to be in the possession of another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unusual patient reaction to a medication shall be documented in the patient record and reported to the prescriber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Dilution or reconstitution and labeling of medication shall be done only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155.21(19)</w:t>
      </w:r>
      <w:r>
        <w:rPr>
          <w:rFonts w:ascii="Times New Roman" w:hAnsi="Times New Roman"/>
          <w:b w:val="false"/>
          <w:i w:val="false"/>
          <w:color w:val="000000"/>
          <w:sz w:val="22"/>
        </w:rPr>
        <w:t> </w:t>
      </w:r>
      <w:r>
        <w:rPr>
          <w:rFonts w:ascii="Times New Roman" w:hAnsi="Times New Roman"/>
          <w:b w:val="false"/>
          <w:i/>
          <w:color w:val="000000"/>
          <w:sz w:val="22"/>
        </w:rPr>
        <w:t xml:space="preserve">Management of care and discharge planning. </w:t>
      </w:r>
      <w:r>
        <w:rPr>
          <w:rFonts w:ascii="Times New Roman" w:hAnsi="Times New Roman"/>
          <w:b w:val="false"/>
          <w:i w:val="false"/>
          <w:color w:val="000000"/>
          <w:sz w:val="22"/>
        </w:rPr>
        <w:t>The program’s policies and procedures shall use the ASAM criteria for assessment, admission, continued service and discharge decisions and shall describe management-of-care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care coordination to meet each patient’s needs and promote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management-of-care activities at least minimally within the time frames specified for each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clinically managed medium-intensity residential treatment, partial/day treatment, and intensive outpatient treatment: within seven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and outpatient treatment: within 30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coordinate patient care with other programs for any licensed program service for which the program is not licensed and with qualified individuals and organizations for any related services the program does not provide, such as crisis stabilization, medical services, mental health services, and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time of the patient’s admission, the program shall initiate discharge planning that includes a determination of the patient’s continued need for licensed program services and development of a plan to address ongoing patient needs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155.21(20)</w:t>
      </w: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w:t>
      </w:r>
      <w:r>
        <w:rPr>
          <w:rFonts w:ascii="Times New Roman" w:hAnsi="Times New Roman"/>
          <w:b w:val="false"/>
          <w:i w:val="false"/>
          <w:color w:val="000000"/>
          <w:sz w:val="22"/>
        </w:rPr>
        <w:t>The program’s policies and procedures shall describe a written quality improvement plan that encompasses all licensed program services and related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quality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describe and document monitoring, problem-solving and evaluation activities designed to systematically identify and resolve problems and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specific goals, objectives,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objective criteria to measure its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document whether the quality of patient care and program operations are improved and identified problems are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quality improvement plan activities and findings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Quality improvement plan findings are used to detect trends, patterns of performance, and potential problems that affect patient care and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evaluate the effectiveness of the quality improvement plan at least annually and revise the plan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155.21(21)</w:t>
      </w:r>
      <w:r>
        <w:rPr>
          <w:rFonts w:ascii="Times New Roman" w:hAnsi="Times New Roman"/>
          <w:b w:val="false"/>
          <w:i w:val="false"/>
          <w:color w:val="000000"/>
          <w:sz w:val="22"/>
        </w:rPr>
        <w:t> </w:t>
      </w:r>
      <w:r>
        <w:rPr>
          <w:rFonts w:ascii="Times New Roman" w:hAnsi="Times New Roman"/>
          <w:b w:val="false"/>
          <w:i/>
          <w:color w:val="000000"/>
          <w:sz w:val="22"/>
        </w:rPr>
        <w:t xml:space="preserve">Facility safety and cleanliness. </w:t>
      </w:r>
      <w:r>
        <w:rPr>
          <w:rFonts w:ascii="Times New Roman" w:hAnsi="Times New Roman"/>
          <w:b w:val="false"/>
          <w:i w:val="false"/>
          <w:color w:val="000000"/>
          <w:sz w:val="22"/>
        </w:rPr>
        <w:t>The program’s policies and procedures shall ensure that program physical facilities are clean, well-ventilated, heated, free from vermin, and appropriately furnished and are designed, constructed, equipped, and maintained in a manner that provides for the physical safety of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required by local jurisdiction, the program shall maintain a certification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all phases of construction or alterations of buildings, the level of life safety shall not be diminished in any occupied area. The construction shall be in compliance with all applicable federal, state, and local codes. New construction shall comply with Iowa Code chapter </w:t>
      </w:r>
      <w:hyperlink r:id="rId68">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all applicable federal and local codes and provide for safe and convenient use by 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specific policies and procedures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development, implementation, maintenance and review of safety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 and maintenance of an ongoing, facilitywide hazard surveillance program to detect and report all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 and proper disposal of biohazardous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that shall be of substantial, nonslippery material, maintained in a good state of repair, adequately lighted and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each of which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programs serving juveniles, fuse boxes that shall be under lock and key or six feet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 and proper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Prohibition against weapon possession; safe and proper removal of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Swimming pools that shall conform to state and local health and safety rules and regulations. Adult supervision shall be provided at all times when juveniles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Ponds, lakes, or any bodies of water located on or near the program and accessible to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The plan shall be conspicuously displayed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155.21(22)</w:t>
      </w:r>
      <w:r>
        <w:rPr>
          <w:rFonts w:ascii="Times New Roman" w:hAnsi="Times New Roman"/>
          <w:b w:val="false"/>
          <w:i w:val="false"/>
          <w:color w:val="000000"/>
          <w:sz w:val="22"/>
        </w:rPr>
        <w:t> </w:t>
      </w:r>
      <w:r>
        <w:rPr>
          <w:rFonts w:ascii="Times New Roman" w:hAnsi="Times New Roman"/>
          <w:b w:val="false"/>
          <w:i/>
          <w:color w:val="000000"/>
          <w:sz w:val="22"/>
        </w:rPr>
        <w:t xml:space="preserve">Therapeutic environment. </w:t>
      </w:r>
      <w:r>
        <w:rPr>
          <w:rFonts w:ascii="Times New Roman" w:hAnsi="Times New Roman"/>
          <w:b w:val="false"/>
          <w:i w:val="false"/>
          <w:color w:val="000000"/>
          <w:sz w:val="22"/>
        </w:rPr>
        <w:t xml:space="preserve">The program’s policies and procedures shall provide for the establishment of an environment that preserves human dignity. Program facilities shall have adequate space for the program to provide licensed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a description of how all licensed program services are accessible to people with disabilities or how the program provides accommodations for people with disabilities. All programs shall comply with the Americans with Disabilities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waiting or reception areas shall be of adequate size and be located so as to ensure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be available in waiting or reception areas to address the needs of the patients, potential patients, concerned persons,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Possession and use of chemical substances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Prohibition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Prohibition of the sale or other provision of any tobacco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Informing patients of their legal and human rights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communication, opinions, or grievances, with a mechanism for redress.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Patient right to privacy.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641—155.22</w:t>
      </w:r>
      <w:r>
        <w:rPr>
          <w:rFonts w:ascii="Times New Roman" w:hAnsi="Times New Roman"/>
          <w:b/>
          <w:i w:val="false"/>
          <w:color w:val="000000"/>
          <w:sz w:val="22"/>
        </w:rPr>
        <w:t xml:space="preserve">(125,135) </w:t>
      </w:r>
      <w:r>
        <w:rPr>
          <w:rFonts w:ascii="Times New Roman" w:hAnsi="Times New Roman"/>
          <w:b/>
          <w:i w:val="false"/>
          <w:color w:val="000000"/>
          <w:sz w:val="22"/>
        </w:rPr>
        <w:t xml:space="preserve">Inpatient and residential program facilities. </w:t>
      </w:r>
      <w:r>
        <w:rPr>
          <w:rFonts w:ascii="Times New Roman" w:hAnsi="Times New Roman"/>
          <w:b w:val="false"/>
          <w:i w:val="false"/>
          <w:color w:val="000000"/>
          <w:sz w:val="22"/>
        </w:rPr>
        <w:t>Specific standards apply for programs providing clinically managed low-intensity residential treatment, clinically managed medium-intensity residential treatment, clinically managed high-intensity residential treatment, medically monitored intensive inpatient treatment, and medically managed intensive inpatient treatment.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155.22(1)</w:t>
      </w:r>
      <w:r>
        <w:rPr>
          <w:rFonts w:ascii="Times New Roman" w:hAnsi="Times New Roman"/>
          <w:b w:val="false"/>
          <w:i w:val="false"/>
          <w:color w:val="000000"/>
          <w:sz w:val="22"/>
        </w:rPr>
        <w:t> </w:t>
      </w:r>
      <w:r>
        <w:rPr>
          <w:rFonts w:ascii="Times New Roman" w:hAnsi="Times New Roman"/>
          <w:b w:val="false"/>
          <w:i/>
          <w:color w:val="000000"/>
          <w:sz w:val="22"/>
        </w:rPr>
        <w:t xml:space="preserve">Health and fire safety inspections. </w:t>
      </w:r>
      <w:r>
        <w:rPr>
          <w:rFonts w:ascii="Times New Roman" w:hAnsi="Times New Roman"/>
          <w:b w:val="false"/>
          <w:i w:val="false"/>
          <w:color w:val="000000"/>
          <w:sz w:val="22"/>
        </w:rPr>
        <w:t>Inpatient and residential programs shall comply with applicable department of inspections, appeals, and licensing rules; state fire marshal’s rules and fire ordinances; and applicable local health, fire, occupancy, and safety regulations. The program shall maintain documentation of such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Inpatient and residential programs shall comply with standards for food service sanitation in accordance with rules promulgated by the department of inspections, appeals, and licensing pursuant to </w:t>
      </w:r>
      <w:hyperlink r:id="rId69">
        <w:r>
          <w:rPr>
            <w:rStyle w:val="Hyperlink"/>
            <w:rFonts w:ascii="Times New Roman" w:hAnsi="Times New Roman"/>
            <w:b w:val="false"/>
            <w:i w:val="false"/>
            <w:color w:val="000000"/>
            <w:sz w:val="22"/>
          </w:rPr>
          <w:t>481—Chapter 30</w:t>
        </w:r>
      </w:hyperlink>
      <w:r>
        <w:rPr>
          <w:rFonts w:ascii="Times New Roman" w:hAnsi="Times New Roman"/>
          <w:b w:val="false"/>
          <w:i w:val="false"/>
          <w:color w:val="000000"/>
          <w:sz w:val="22"/>
        </w:rPr>
        <w:t xml:space="preserve"> and Iowa Code chapter </w:t>
      </w:r>
      <w:hyperlink r:id="rId7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door locks or closed sections shall be documented in written policies and procedures approved by the fire marshal and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155.22(2)</w:t>
      </w:r>
      <w:r>
        <w:rPr>
          <w:rFonts w:ascii="Times New Roman" w:hAnsi="Times New Roman"/>
          <w:b w:val="false"/>
          <w:i w:val="false"/>
          <w:color w:val="000000"/>
          <w:sz w:val="22"/>
        </w:rPr>
        <w:t> </w:t>
      </w:r>
      <w:r>
        <w:rPr>
          <w:rFonts w:ascii="Times New Roman" w:hAnsi="Times New Roman"/>
          <w:b w:val="false"/>
          <w:i/>
          <w:color w:val="000000"/>
          <w:sz w:val="22"/>
        </w:rPr>
        <w:t xml:space="preserve">Emergency preparedness. </w:t>
      </w:r>
      <w:r>
        <w:rPr>
          <w:rFonts w:ascii="Times New Roman" w:hAnsi="Times New Roman"/>
          <w:b w:val="false"/>
          <w:i w:val="false"/>
          <w:color w:val="000000"/>
          <w:sz w:val="22"/>
        </w:rPr>
        <w:t>Inpatient and residential programs shall have a written emergency preparedness plan for continuation of licensed program services during an emergency or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641—155.23</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w:t>
      </w:r>
      <w:r>
        <w:rPr>
          <w:rFonts w:ascii="Times New Roman" w:hAnsi="Times New Roman"/>
          <w:b w:val="false"/>
          <w:i w:val="false"/>
          <w:color w:val="000000"/>
          <w:sz w:val="22"/>
        </w:rPr>
        <w:t>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155.23(1)</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Inpatient and residential programs shall operate seven days per week,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155.23(2)</w:t>
      </w:r>
      <w:r>
        <w:rPr>
          <w:rFonts w:ascii="Times New Roman" w:hAnsi="Times New Roman"/>
          <w:b w:val="false"/>
          <w:i w:val="false"/>
          <w:color w:val="000000"/>
          <w:sz w:val="22"/>
        </w:rPr>
        <w:t> </w:t>
      </w:r>
      <w:r>
        <w:rPr>
          <w:rFonts w:ascii="Times New Roman" w:hAnsi="Times New Roman"/>
          <w:b w:val="false"/>
          <w:i/>
          <w:color w:val="000000"/>
          <w:sz w:val="22"/>
        </w:rPr>
        <w:t xml:space="preserve">Meals. </w:t>
      </w:r>
      <w:r>
        <w:rPr>
          <w:rFonts w:ascii="Times New Roman" w:hAnsi="Times New Roman"/>
          <w:b w:val="false"/>
          <w:i w:val="false"/>
          <w:color w:val="000000"/>
          <w:sz w:val="22"/>
        </w:rPr>
        <w:t>Inpatient and residential programs shall provide a minimum of three meals per day to each patient. A program where patients are not present during mealtime shall make provisions to make available the necessary meals. Menus shall be prepared in consultation with a dietitian. If patients are allowed to prepare meals, the program shall document conformity with all commonly accepted policies and procedures of state health rules and regulations and food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155.23(3)</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counsel. </w:t>
      </w:r>
      <w:r>
        <w:rPr>
          <w:rFonts w:ascii="Times New Roman" w:hAnsi="Times New Roman"/>
          <w:b w:val="false"/>
          <w:i w:val="false"/>
          <w:color w:val="000000"/>
          <w:sz w:val="22"/>
        </w:rPr>
        <w:t>Patients shall have opportunity for and access to consultation with legal counsel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155.23(4)</w:t>
      </w:r>
      <w:r>
        <w:rPr>
          <w:rFonts w:ascii="Times New Roman" w:hAnsi="Times New Roman"/>
          <w:b w:val="false"/>
          <w:i w:val="false"/>
          <w:color w:val="000000"/>
          <w:sz w:val="22"/>
        </w:rPr>
        <w:t> </w:t>
      </w:r>
      <w:r>
        <w:rPr>
          <w:rFonts w:ascii="Times New Roman" w:hAnsi="Times New Roman"/>
          <w:b w:val="false"/>
          <w:i/>
          <w:color w:val="000000"/>
          <w:sz w:val="22"/>
        </w:rPr>
        <w:t xml:space="preserve">Visitation with family and friends.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for continuing contact with family and friends. If such contact is clinically contraindicated, it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visiting hours, which shall be conspicuously displayed at the facility in such a manner to be visible to those entering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155.23(5)</w:t>
      </w:r>
      <w:r>
        <w:rPr>
          <w:rFonts w:ascii="Times New Roman" w:hAnsi="Times New Roman"/>
          <w:b w:val="false"/>
          <w:i w:val="false"/>
          <w:color w:val="000000"/>
          <w:sz w:val="22"/>
        </w:rPr>
        <w:t> </w:t>
      </w:r>
      <w:r>
        <w:rPr>
          <w:rFonts w:ascii="Times New Roman" w:hAnsi="Times New Roman"/>
          <w:b w:val="false"/>
          <w:i/>
          <w:color w:val="000000"/>
          <w:sz w:val="22"/>
        </w:rPr>
        <w:t xml:space="preserve">Telephone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telephone conversations. If such conversations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telephone hours. Emergency telephone conversations may be received at the time of the call or made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155.23(6)</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written communications. If such communications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access to written communications. The program shall not intercept, read, or censor the U.S.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155.23(7)</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Inpatient and residential program facilities shall be appropriate for 24-hour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bedrooms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sturdily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clean mattress protected with a clean mattress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designated space for personal possessions and for hanging clothing in proximity to the sleeping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Curtains or window blinds on any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doors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partitioning or placement of furniture to provide privacy for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patients in a room shall be appropriate to the goals of the facility and to the ages, developmental levels, and clinical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will be allowed to keep and display personal belongings and add personal touches to the decoration of their rooms in accordance with program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shall respect the patient’s right to privacy by knocking on the door of the patient’s room before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linen, towels and washcloths shall be available minimally on a weekly basis and more often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Bathrooms.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 shall provide the facilities necessary for patients’ personal hygiene and personal privacy,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safe supply of hot and cold running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Clean towels, electric hand dryers or paper towel dispensers, toilet paper and soap;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Natural or mechanical ventilation capable of removing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Tubs or showers that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Partitions with doors that provide privacy if a bathroom has multiple toilet stools;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that shall at all times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bathroom facilities to inpatient and residential patients shall be one tub or shower head per 12 patients, one wash basin per 12 patients and one toilet per 8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is coeducational, the program shall designate and so identify separate bathrooms for male and female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shall be conspicuously displayed on each floor or in each area that patients, concerned persons, staff or visitors occupy at the facility and shall be explained to all inpatient and residential patients as a part of their orientation to the program. Fire drills shall be conducted at least monthly, and tornado drills shall be conducted monthly from April through October.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reports of annual inspections by state or local fire safety officials or private fire protection companies approved by the department shall be maintained with records of corrective action taken by the program based on recommendations articulated in such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water system shall meet this requirement. Private water sources shall be tested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allow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Areas in which a patient may be alone when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Areas for private conversations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Articles of grooming and personal hygiene that are appropriate to the patient’s age, developmental level, and clinical state shall be readily available in a space reserved near the patient’s sleeping area. If access to such articles is clinically contraindicated as approved by the treatment supervisor, a patient’s personal articles may be kept under lock and key by staff. Staff shall explain to the patient the conditions under which the articles may be used. Justification for this restriction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patients maintain their own living quarters or perform day-to-day housekeeping activities, these responsibilities shall be clearly defined in writing and be a part of the patient orientation program. Staff assistance and equipment shall be provided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Patients shall be allowed to wear their own clothing in accordance with program rules. If clothing is provided by programs, it shall be suited to the climate and appropriate. A laundry room shall be accessible so patients may wash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the use and location of noise-producing equipment and appliances, such as television sets, radios, computers, and CD players, do not interfere with clinical and therapeutic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recreation and outdoor activities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155.23(8)</w:t>
      </w:r>
      <w:r>
        <w:rPr>
          <w:rFonts w:ascii="Times New Roman" w:hAnsi="Times New Roman"/>
          <w:b w:val="false"/>
          <w:i w:val="false"/>
          <w:color w:val="000000"/>
          <w:sz w:val="22"/>
        </w:rPr>
        <w:t> </w:t>
      </w:r>
      <w:r>
        <w:rPr>
          <w:rFonts w:ascii="Times New Roman" w:hAnsi="Times New Roman"/>
          <w:b w:val="false"/>
          <w:i/>
          <w:color w:val="000000"/>
          <w:sz w:val="22"/>
        </w:rPr>
        <w:t xml:space="preserve">Religion-culture. </w:t>
      </w:r>
      <w:r>
        <w:rPr>
          <w:rFonts w:ascii="Times New Roman" w:hAnsi="Times New Roman"/>
          <w:b w:val="false"/>
          <w:i w:val="false"/>
          <w:color w:val="000000"/>
          <w:sz w:val="22"/>
        </w:rPr>
        <w:t xml:space="preserve">Program policies and procedures shall include a written description of any religious orientation, religious practice, or religious restrictions. For juvenile patients, this description shall be provided to the patient, parent(s) or guardian, and placing agency at the time of admission in compliance with HIPAA as amended to August 1, 2025, and U.S. Department of Health and Human Services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regulations on the confidentiality of alcohol and drug abuse patient records. For adult patients, this information shall be available during orientation. The patient shall have the opportunity to participate in religious activities and services in accordance with the patient’s faith or that of a patient’s parent(s) or guardian if the patient is a minor. The program shall, when necessary and reasonable, arrange transportation to religious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licensed to provide services to juveniles. </w:t>
      </w:r>
      <w:r>
        <w:rPr>
          <w:rFonts w:ascii="Times New Roman" w:hAnsi="Times New Roman"/>
          <w:b w:val="false"/>
          <w:i w:val="false"/>
          <w:color w:val="000000"/>
          <w:sz w:val="22"/>
        </w:rPr>
        <w:t>Inpatient and residential programs that provide services to juveniles under the age of 18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155.24(1)</w:t>
      </w:r>
      <w:r>
        <w:rPr>
          <w:rFonts w:ascii="Times New Roman" w:hAnsi="Times New Roman"/>
          <w:b w:val="false"/>
          <w:i w:val="false"/>
          <w:color w:val="000000"/>
          <w:sz w:val="22"/>
        </w:rPr>
        <w:t> </w:t>
      </w:r>
      <w:r>
        <w:rPr>
          <w:rFonts w:ascii="Times New Roman" w:hAnsi="Times New Roman"/>
          <w:b w:val="false"/>
          <w:i/>
          <w:color w:val="000000"/>
          <w:sz w:val="22"/>
        </w:rPr>
        <w:t xml:space="preserve">Personal possessions. </w:t>
      </w:r>
      <w:r>
        <w:rPr>
          <w:rFonts w:ascii="Times New Roman" w:hAnsi="Times New Roman"/>
          <w:b w:val="false"/>
          <w:i w:val="false"/>
          <w:color w:val="000000"/>
          <w:sz w:val="22"/>
        </w:rPr>
        <w:t>A program shall allow a patient to bring personal belongings. The program may limit or supervise the use of these items. The program shall ensure that each patient has adequate, clean, well-fitting, attractive, and seasonable clothing as required for health, comfort, and physical well-being. The clothes should be appropriate to the patient’s individual needs, age, and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155.24(2)</w:t>
      </w:r>
      <w:r>
        <w:rPr>
          <w:rFonts w:ascii="Times New Roman" w:hAnsi="Times New Roman"/>
          <w:b w:val="false"/>
          <w:i w:val="false"/>
          <w:color w:val="000000"/>
          <w:sz w:val="22"/>
        </w:rPr>
        <w:t> </w:t>
      </w:r>
      <w:r>
        <w:rPr>
          <w:rFonts w:ascii="Times New Roman" w:hAnsi="Times New Roman"/>
          <w:b w:val="false"/>
          <w:i/>
          <w:color w:val="000000"/>
          <w:sz w:val="22"/>
        </w:rPr>
        <w:t xml:space="preserve">Family involvement. </w:t>
      </w:r>
      <w:r>
        <w:rPr>
          <w:rFonts w:ascii="Times New Roman" w:hAnsi="Times New Roman"/>
          <w:b w:val="false"/>
          <w:i w:val="false"/>
          <w:color w:val="000000"/>
          <w:sz w:val="22"/>
        </w:rPr>
        <w:t>The program shall encourage family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155.24(3)</w:t>
      </w: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Money earned or received as a gift or as an allowance by a patient shall be that patient’s personal property. The program shall maintain a separate accounting system for patient money and shall address the patient’s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155.24(4)</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program’s methods for control and discipline of juveniles shall be available to all staff and to the juvenile’s family. Staff shall be in control of and responsible for discipline at all times. Discipline shall not include withholding basic necessities such as food, clothing, 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prohibit staff or patients from utilizing corporal punishment as a method of disciplining or correcting patients. This policy shall be communicated in writing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written policies on behavior expectations shall be made available to the patient and the patient’s parent(s) or guardian,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expectations of behavior, including the program’s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155.24(5)</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The program shall have staff coverage seven days per week, 24 hours per day. The number and qualifications of the staff will vary depending on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 24-hour supervisory consultation on-call system. During prime programming time, there shall be at least a one-to-eight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residential facilities, as defined in </w:t>
      </w:r>
      <w:hyperlink r:id="rId71">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shall have at least a one-to-five staff-to-patient ratio during prime programming time. A staff person shall be in each living unit at all times when juveniles are in residence, and there shall be a minimum of three nighttime checks between the hours of 12 midnight and 6 a.m. These checks shall be logged. The program’s policies and procedures shall address nighttime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define its prime programming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155.24(6)</w:t>
      </w:r>
      <w:r>
        <w:rPr>
          <w:rFonts w:ascii="Times New Roman" w:hAnsi="Times New Roman"/>
          <w:b w:val="false"/>
          <w:i w:val="false"/>
          <w:color w:val="000000"/>
          <w:sz w:val="22"/>
        </w:rPr>
        <w:t> </w:t>
      </w:r>
      <w:r>
        <w:rPr>
          <w:rFonts w:ascii="Times New Roman" w:hAnsi="Times New Roman"/>
          <w:b w:val="false"/>
          <w:i/>
          <w:color w:val="000000"/>
          <w:sz w:val="22"/>
        </w:rPr>
        <w:t xml:space="preserve">Illness, accident, death, or absence from the inpatient or residential program. </w:t>
      </w:r>
      <w:r>
        <w:rPr>
          <w:rFonts w:ascii="Times New Roman" w:hAnsi="Times New Roman"/>
          <w:b w:val="false"/>
          <w:i w:val="false"/>
          <w:color w:val="000000"/>
          <w:sz w:val="22"/>
        </w:rPr>
        <w:t xml:space="preserve">The program shall notify the patient’s parent(s), guardian, and responsible agency of any serious illness, incident involving serious bodily injury, absence, or removal of the juvenile from the facility in compliance with HIPAA as amended to August 1, 2025, and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 regulations on the confidentiality of alcohol and drug abuse patient records. In the event of the death of a patient, the program shall immediately notify the prescriber, the patient’s parent(s) or guardian, the placing agency, and the appropriate state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155.24(7)</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The program’s educational program shall meet the requirements of the department of education and shall be available for each patient in accordance with abilities and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substance use assessment and OWI evaluation-only programs. </w:t>
      </w:r>
      <w:r>
        <w:rPr>
          <w:rFonts w:ascii="Times New Roman" w:hAnsi="Times New Roman"/>
          <w:b w:val="false"/>
          <w:i w:val="false"/>
          <w:color w:val="000000"/>
          <w:sz w:val="22"/>
        </w:rPr>
        <w:t>Programs that provide substance use assessment and OWI evaluation-only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conducting OWI evaluations on persons convicted of operating a motor vehicle while intoxicated (OWI) pursuant to Iowa Code section </w:t>
      </w:r>
      <w:hyperlink r:id="rId72">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and on persons whose driver’s license or nonresident operating privileges are revoked under Iowa Code chapter </w:t>
      </w:r>
      <w:hyperlink r:id="rId7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shall do so in accordance with </w:t>
      </w:r>
      <w:hyperlink r:id="rId74">
        <w:r>
          <w:rPr>
            <w:rStyle w:val="Hyperlink"/>
            <w:rFonts w:ascii="Times New Roman" w:hAnsi="Times New Roman"/>
            <w:b w:val="false"/>
            <w:i w:val="false"/>
            <w:color w:val="000000"/>
            <w:sz w:val="22"/>
          </w:rPr>
          <w:t>641—Chapter 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155.25(2)</w:t>
      </w:r>
      <w:r>
        <w:rPr>
          <w:rFonts w:ascii="Times New Roman" w:hAnsi="Times New Roman"/>
          <w:b w:val="false"/>
          <w:i w:val="false"/>
          <w:color w:val="000000"/>
          <w:sz w:val="22"/>
        </w:rPr>
        <w:t> </w:t>
      </w:r>
      <w:r>
        <w:rPr>
          <w:rFonts w:ascii="Times New Roman" w:hAnsi="Times New Roman"/>
          <w:b w:val="false"/>
          <w:i w:val="false"/>
          <w:color w:val="000000"/>
          <w:sz w:val="22"/>
        </w:rPr>
        <w:t>The program shall make its fees public and shall inform potential patients of the fee at the time the assessment or evaluation is scheduled.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641—155.26</w:t>
      </w:r>
      <w:r>
        <w:rPr>
          <w:rFonts w:ascii="Times New Roman" w:hAnsi="Times New Roman"/>
          <w:b w:val="false"/>
          <w:i w:val="false"/>
          <w:color w:val="000000"/>
          <w:sz w:val="22"/>
        </w:rPr>
        <w:t xml:space="preserve"> to </w:t>
      </w:r>
      <w:r>
        <w:rPr>
          <w:rFonts w:ascii="Times New Roman" w:hAnsi="Times New Roman"/>
          <w:b/>
          <w:i w:val="false"/>
          <w:color w:val="000000"/>
          <w:sz w:val="22"/>
        </w:rPr>
        <w:t>155.33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641—155.34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enhanced treatment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Substance use disorder and problem gambling treatment programs licensed to provide enhanced treatment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The program shall meet the requirements in subrule </w:t>
      </w:r>
      <w:hyperlink r:id="rId75">
        <w:r>
          <w:rPr>
            <w:rStyle w:val="Hyperlink"/>
            <w:rFonts w:ascii="Times New Roman" w:hAnsi="Times New Roman"/>
            <w:b w:val="false"/>
            <w:i w:val="false"/>
            <w:color w:val="000000"/>
            <w:sz w:val="22"/>
          </w:rPr>
          <w:t>155.21(8)</w:t>
        </w:r>
      </w:hyperlink>
      <w:r>
        <w:rPr>
          <w:rFonts w:ascii="Times New Roman" w:hAnsi="Times New Roman"/>
          <w:b w:val="false"/>
          <w:i w:val="false"/>
          <w:color w:val="000000"/>
          <w:sz w:val="22"/>
        </w:rPr>
        <w: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job descriptions for positions that provide prevention services for substance use disorders and problem gambling, treatment for substance use disorders and problem gambling, services for medical conditions, and services for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staff on site who are qualified to provide prevention and early intervention services for substance use disorders and problem gambling, treatment for substance use disorders and problem gambling, services for medical conditions, and services for mental health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opioid treatment programs. </w:t>
      </w:r>
      <w:r>
        <w:rPr>
          <w:rFonts w:ascii="Times New Roman" w:hAnsi="Times New Roman"/>
          <w:b w:val="false"/>
          <w:i w:val="false"/>
          <w:color w:val="000000"/>
          <w:sz w:val="22"/>
        </w:rPr>
        <w:t xml:space="preserve">All programs that use methadone or other medications approved by the Food and Drug Administration under </w:t>
      </w:r>
      <w:r>
        <w:rPr>
          <w:rFonts w:ascii="Times New Roman" w:hAnsi="Times New Roman"/>
          <w:b w:val="false"/>
          <w:i w:val="false"/>
          <w:color w:val="000000"/>
          <w:sz w:val="22"/>
        </w:rPr>
        <w:t>Section 505 of the Federal Food, Drug, and Cosmetic Act</w:t>
      </w:r>
      <w:r>
        <w:rPr>
          <w:rFonts w:ascii="Times New Roman" w:hAnsi="Times New Roman"/>
          <w:b w:val="false"/>
          <w:i w:val="false"/>
          <w:color w:val="000000"/>
          <w:sz w:val="22"/>
        </w:rPr>
        <w:t xml:space="preserve"> (</w:t>
      </w:r>
      <w:r>
        <w:rPr>
          <w:rFonts w:ascii="Times New Roman" w:hAnsi="Times New Roman"/>
          <w:b w:val="false"/>
          <w:i w:val="false"/>
          <w:color w:val="000000"/>
          <w:sz w:val="22"/>
        </w:rPr>
        <w:t>21 U.S.C. 355</w:t>
      </w:r>
      <w:r>
        <w:rPr>
          <w:rFonts w:ascii="Times New Roman" w:hAnsi="Times New Roman"/>
          <w:b w:val="false"/>
          <w:i w:val="false"/>
          <w:color w:val="000000"/>
          <w:sz w:val="22"/>
        </w:rPr>
        <w:t xml:space="preserve"> as amended to August 1, 2025) and by the state of Iowa for use in the treatment of opioid addiction shall comply with this rule; HIPAA, as amended to August 1, 2025; and Part II, DHHS, Substance Abuse and Mental Health Services Administration, </w:t>
      </w:r>
      <w:r>
        <w:rPr>
          <w:rFonts w:ascii="Times New Roman" w:hAnsi="Times New Roman"/>
          <w:b w:val="false"/>
          <w:i w:val="false"/>
          <w:color w:val="000000"/>
          <w:sz w:val="22"/>
        </w:rPr>
        <w:t>42 CFR Part 8</w:t>
      </w:r>
      <w:r>
        <w:rPr>
          <w:rFonts w:ascii="Times New Roman" w:hAnsi="Times New Roman"/>
          <w:b w:val="false"/>
          <w:i w:val="false"/>
          <w:color w:val="000000"/>
          <w:sz w:val="22"/>
        </w:rPr>
        <w:t>, Opioid Drugs in Maintenance and Detoxification Treatment of Opioid Addiction, effective February 2, 2024, and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w:t>
      </w:r>
      <w:r>
        <w:rPr>
          <w:rFonts w:ascii="Times New Roman" w:hAnsi="Times New Roman"/>
          <w:b w:val="false"/>
          <w:i w:val="false"/>
          <w:color w:val="000000"/>
          <w:sz w:val="22"/>
        </w:rPr>
        <w:t> </w:t>
      </w:r>
      <w:r>
        <w:rPr>
          <w:rFonts w:ascii="Times New Roman" w:hAnsi="Times New Roman"/>
          <w:b w:val="false"/>
          <w:i/>
          <w:color w:val="000000"/>
          <w:sz w:val="22"/>
        </w:rPr>
        <w:t xml:space="preserve">Required approvals. </w:t>
      </w:r>
      <w:r>
        <w:rPr>
          <w:rFonts w:ascii="Times New Roman" w:hAnsi="Times New Roman"/>
          <w:b w:val="false"/>
          <w:i w:val="false"/>
          <w:color w:val="000000"/>
          <w:sz w:val="22"/>
        </w:rPr>
        <w:t>All opioid treatment programs shall be licensed or approved by the department and shall maintain all other approvals required by the federal Drug Enforcement Administration, SAMHSA and the Iowa board of pharmacy in order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155.35(2)</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system. </w:t>
      </w:r>
      <w:r>
        <w:rPr>
          <w:rFonts w:ascii="Times New Roman" w:hAnsi="Times New Roman"/>
          <w:b w:val="false"/>
          <w:i w:val="false"/>
          <w:color w:val="000000"/>
          <w:sz w:val="22"/>
        </w:rPr>
        <w:t>To prevent simultaneous enrollment of a patient in more than one program, all opioid treatment programs shall participate in a central registry as established by the department.</w:t>
      </w:r>
    </w:p>
    <w:p>
      <w:pPr>
        <w:spacing w:before="0" w:after="0"/>
        <w:ind w:left="120"/>
        <w:jc w:val="both"/>
      </w:pPr>
      <w:r>
        <w:rPr>
          <w:rFonts w:ascii="Times New Roman" w:hAnsi="Times New Roman"/>
          <w:b w:val="false"/>
          <w:i w:val="false"/>
          <w:color w:val="000000"/>
          <w:sz w:val="22"/>
        </w:rPr>
        <w:t xml:space="preserve">Prior to admission of an applicant to an opioid treatment program, the program shall submit to the registry the applicant’s name, birth date, and date of intended admission, and any other information required for the clearance procedure. No person shall be admitted to a program who is found by the registry to be participating in another such program. All opioid treatment programs shall report all admissions, discharges, and transfers to the registry immediately. All information reported to the registry from the programs and all information reported to the programs from the registry shall be treated as confidential in accordance with HIPAA as amended to August 1, 2025, and regulations on the confidentiality of alcohol and drug abuse patient records, DHHS,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means the system through which the department obtains patient identifying information about individuals applying for maintenance treatment for the purpose of preventing an individual’s concurrent enrollment in more than one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program” </w:t>
      </w:r>
      <w:r>
        <w:rPr>
          <w:rFonts w:ascii="Times New Roman" w:hAnsi="Times New Roman"/>
          <w:b w:val="false"/>
          <w:i w:val="false"/>
          <w:color w:val="000000"/>
          <w:sz w:val="22"/>
        </w:rPr>
        <w:t>means a withdrawal management or maintenance treatment program that is required to report patient identifying information to the central registry and that is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program may disclose patient identifying information to a central registry for the purpose of preventing the multiple enrollment of a patient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patient is admitted for treatment;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treatment is interrupted, resumed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disclosure is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 identifying information;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Relevant dates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patient of the required disclosure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information limited to prevention of multiple enrollments. </w:t>
      </w:r>
      <w:r>
        <w:rPr>
          <w:rFonts w:ascii="Times New Roman" w:hAnsi="Times New Roman"/>
          <w:b w:val="false"/>
          <w:i w:val="false"/>
          <w:color w:val="000000"/>
          <w:sz w:val="22"/>
        </w:rPr>
        <w:t xml:space="preserve">Any information disclosed to the central registry to prevent multiple enrollments shall not be redisclosed by the registry nor shall such information be used for any other purpose than the prevention of multiple enrollments unless so authorized by court order in accordance with HIPAA as amended to August 1, 2025, and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Permitted disclosure by the central registry to prevent a multiple enrollment. </w:t>
      </w:r>
      <w:r>
        <w:rPr>
          <w:rFonts w:ascii="Times New Roman" w:hAnsi="Times New Roman"/>
          <w:b w:val="false"/>
          <w:i w:val="false"/>
          <w:color w:val="000000"/>
          <w:sz w:val="22"/>
        </w:rPr>
        <w:t>If a program petitions the central registry and an identified patient is enrolled in another program, the registry may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program in which the patient is currently enrolled to the inquiring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inquiring program to the program in which the patient is currently enrolled. The programs may communicate as necessary to verify that no error has been made and to prevent or eliminate any multiple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155.35(3)</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or at the time of a patient’s admission to an opioid treatment program, the program shall conduct a comprehensive assessment so as to determine appropriateness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verify, to the extent possible, the patient’s name, address,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OTP shall maintain current procedures designed to ensure that patients are admitted to treatment by qualified personnel who have determined, using accepted medical criteria,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meets diagnostic criteria for a moderate to severe OUD;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an active moderate to severe OUD, or OUD in remission, or is at high risk for recurrence or overdose.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decisions must be appropriately documented in the patient's clinical record. In addition, a health care practitioner shall ensure that each patient voluntarily chooses treatment with MOUD, that all relevant facts concerning the use of MOUD are clearly and adequately explained to the patient, and that each patient provides informed consent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physiological addiction cannot be clearly documented, the program physician or an appropriately trained staff member designated and supervised by the physician shall record in the patient’s record the criteria used to determine the patient’s current physiologic dependence and history of addiction. In the latter circumstance, the program physician shall review, date, and countersign the supervised staff member’s evaluation to demonstrate the physician’s agreement with the evaluation. The program physician shall make the final determination concerning a patient’s physiologic dependence and history of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patient has voluntarily left an opioid treatment program in good standing and seeks readmission within two years of discharge, the program shall document the following information about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opioid treatment of six months or more;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in the physician’s medical judgment, treatment of the patient is warranted. Such documentation shall be entered in the patient’s record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collect a drug screening sample for analysis. Where dependence is substantially verified through other indicators, a negative drug screen will not necessarily preclude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a patient’s admission, the program shall confirm with the central registry that the patient is not currently enrolled in another opioid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potential patient has previously been enrolled in another program, the admitting program shall request from the previous program a copy of the patient’s assessment data, treatment plan, and discharge summary including the type of or reason for discharge. All programs subject to these rules shall promptly respond to such a request upon receipt of a valid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under the age of 18 is required to have had two documented attempts at short-term withdrawal management or drug-free treatment to be eligible for maintenance treatment. A one-week waiting period is required after such a short-term withdrawal management attempt, however, before an attempt is repeated. The program physician shall document in the patient’s record that the patient continues to be, or is again, physiologically dependent on narcotic drugs. No person under 18 years of age may be admitted to OTP treatment unless a parent, legal guardian, or responsible adult designated by the relevant state authority consents in writing to such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Program staff shall ensure that a patient is voluntarily participating in the program, and the patient shall sign a Consent to Treatment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Pregnant patients may be admitted to opioid treatment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of current physiological dependency is not needed if the program physician certifies the pregnancy and, in the physician’s reasonable judgment, finds treatment to be justified. Documentation of all findings and justifications for admission shall be documented in the patient’s record by the program physician prior to the administration of the initial dose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patients shall be offered comprehensive prenatal care. If the program cannot provide prenatal services, the program shall assist the patient in obtaining such services and shall coordinate ongoing care with the collateral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document that the patient has been informed of the possible risks to the unborn child from the use of medication and the risks of continued use of illicit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a program have a waiting list for admission to the program, pregnant patients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155.35(4)</w:t>
      </w:r>
      <w:r>
        <w:rPr>
          <w:rFonts w:ascii="Times New Roman" w:hAnsi="Times New Roman"/>
          <w:b w:val="false"/>
          <w:i w:val="false"/>
          <w:color w:val="000000"/>
          <w:sz w:val="22"/>
        </w:rPr>
        <w:t> </w:t>
      </w:r>
      <w:r>
        <w:rPr>
          <w:rFonts w:ascii="Times New Roman" w:hAnsi="Times New Roman"/>
          <w:b w:val="false"/>
          <w:i/>
          <w:color w:val="000000"/>
          <w:sz w:val="22"/>
        </w:rPr>
        <w:t xml:space="preserve">Placement, admission and assessment. </w:t>
      </w:r>
      <w:r>
        <w:rPr>
          <w:rFonts w:ascii="Times New Roman" w:hAnsi="Times New Roman"/>
          <w:b w:val="false"/>
          <w:i w:val="false"/>
          <w:color w:val="000000"/>
          <w:sz w:val="22"/>
        </w:rPr>
        <w:t>The program shall have written criteria for considering an individual for placement and admission. In addition, the program shall maintain current procedures to ensure that patients are admitted to maintenance treatment by qualified staff who have determined by using accepted medical criteria, such as those outlined in the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require each patient to undergo an initial medical examination. The initial medical examination is comprised of two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screening examination to ensure that the patient meets criteria for admission and that there are no contraindications to treatment with MOUD;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full history and examination to determine the patient’s broader health status, with lab testing as determined to be required by an appropriately licensed practitioner. A patient’s refusal to undergo lab testing for co-occurring physical health conditions should not preclude the patient from access to treatment, provided such refusal does not have potential to negatively impact treatment with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Assuming there are no contraindications, a patient may commence treatment with MOUD after the screening examination has been completed. Both the screening examination and full examination must be completed by an appropriately licensed practitioner. If the licensed practitioner is not an OTP practitioner, the screening examination must be completed no more than seven days prior to OTP admission. Where the examination is performed outside of the OTP, the written results and narrative of the examination, as well as available lab testing results, must be transmitted, consistent with applicable privacy laws, to the OTP and verified by an OTP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in-person physical examination, including the results of serology and other tests that are considered to be clinically appropriate, must be completed within 14 calendar days following a patient’s admission to the OTP. The full examination can be completed by a non-OTP practitioner if the examination is verified by a licensed OTP practitioner as being true and accurate and transmitted in accordance with applicable privacy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Serology testing and other testing as deemed medically appropriate by the licensed OTP practitioner based on the screening or full history and examination, drawn not more than 30 days prior to admission to the OTP, may form part of the full history and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screening and full examination may be completed via telehealth for those patients being admitted for treatment at the OTP with either buprenorphine or methadone if a practitioner or primary care provider determines that an adequate evaluation of the patient can be accomplished via telehealth. When using telehealth, the following caveats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evaluating patients for treatment with Schedule II medications (such as methadone), audiovisual telehealth platforms must be used, except when not available to the patient, in which case, it is acceptable to use audio-only devices but only when the patient is in the presence of a licensed practitioner who is registered to prescribe (including dispense) controlled medications. The OTP practitioner shall review the examination results and order treatment medications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evaluating patients for treatment with Schedule III medications or medications not classified as a controlled medication, audiovisual or audio-only platforms may be used. The OTP practitioner shall review the examination results and order treatment medications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medical evaluation of the patient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assessment of the patient’s current psychological and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physical examination, including examination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Pulmonary, liver, or cardiac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Infectious disease;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Dermatologic sequela of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Laboratory tests,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Serological test for syphilis;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Urine screening for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intradermal PPD (tuberculosis skin test) and review of tetanus immunization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indicated, an EKG, chest X-ray, pap smear, pregnancy test, sickle cell screening, complete blood count and white cell differential, multiphasic chemistry profile, routine and microscopic urinalysis, or other tests indicated by the patient’s condition. A patient’s refusal to undergo lab testing for co-occurring physical health conditions should not preclude the patient from access to treatment, provided such refusal does not have potential to negatively impact treatment with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155.35(5)</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Based upon the initial assessment, an individualized written treatment plan shall be developed and recorded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treatment plan shall be developed and shall delineate the patient’s immediate needs and the actions required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be developed as soon after the patient’s admission as is clinically feasible but no later than 30 days following the patient’s admission to an outpatient opioid maintenance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plans shall be developed in partnership with the patient. Comprehensive treatment plans shall be reviewed by the primary counselor and the patient as often as necessary but no less than every 90 days during the first year and semiannually each subsequent year for opioid treatment modalities. Treatment plans shall be reviewed by the program physician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155.35(6)</w:t>
      </w:r>
      <w:r>
        <w:rPr>
          <w:rFonts w:ascii="Times New Roman" w:hAnsi="Times New Roman"/>
          <w:b w:val="false"/>
          <w:i w:val="false"/>
          <w:color w:val="000000"/>
          <w:sz w:val="22"/>
        </w:rPr>
        <w:t> </w:t>
      </w:r>
      <w:r>
        <w:rPr>
          <w:rFonts w:ascii="Times New Roman" w:hAnsi="Times New Roman"/>
          <w:b w:val="false"/>
          <w:i/>
          <w:color w:val="000000"/>
          <w:sz w:val="22"/>
        </w:rPr>
        <w:t xml:space="preserve">Rehabilitative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OTPs must provide adequate substance use disorder counseling and psychoeducation to each patient as clinically necessary and mutually agreed upon, including harm reduction education and recovery-oriented counseling. This counseling shall be provided by a program counselor, qualified by education, training, or experience to assess the psychological and sociological background of patients and engage with patients, to contribute to the appropriate care plan for the patient and to monitor and update patient progress. Patient refusal of counseling shall not preclude the patient from receiving MOUD.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OTPs must provide counseling on preventing exposure to, and the transmission of, human immunodeficiency virus (HIV), viral hepatitis, and sexually transmitted infections (STIs) and either directly provide services and treatments or actively link to treatment each patient admitted or readmitted to treatment who has received positive test results for these conditions from an initial or periodic medical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OTPs must provide directly, or through referral to adequate and reasonably accessible community resources, vocational training, education, and employment services for patients who request such services or for whom these needs have been identified and mutually agreed upon as beneficial by the patient and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155.35(7)</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determine the patient’s initial and subsequent dose of medication and on-site dosing schedule and shall assume responsibility for the amount of the narcotic drug administered or dispensed and shall record, date, and sign in each patient’s case record each change in the dosage schedule. The physician shall directly communicate orders to the pharmacy or registered or licensed personnel supervising medication administration. The program physician may communicate such orders verbally; however, orders shall be reduced to writing and countersigned within 72 hours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new patient enrolled in an OTP, the initial dose of methadone shall be individually determined and shall include consideration of the type(s) of opioid(s) involved in the patient's OUD, other medications or substances being taken, medical history, and severity of opioid withdrawal. The total dose for the first day should not exceed 50 milligrams unless the OTP practitioner, licensed under the appropriate state law and registered under the appropriate state and federal laws to administer or dispense MOUD, finds sufficient medical rationale, including but not limited to if the patient is transferring from another OTP on a higher dose that has been verified, and documents in the patient’s record that a higher dose was clinically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by a professional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medication shall be administered until the patient has completed admission procedures unless the patient enters the program on a weekend and the central registry cannot be contacted. If, in the clinical judgment of the program physician, a patient is experiencing an emergency situation, the admission procedures may be completed on the following workday.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Take-home medication shall be labeled in accordance with state and federal law and have childproof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medication administration log shall be kept in the dosing area and in the patient’s case record. The amount of medication administered and the signature of the staff member authorized to administer the medication shall also be included in the patient’s case record. No dose shall be administered until the patient has been positively identified and the dosage amount has been compared with the currently ordered and documented dosage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Ingestion shall be observed and verified by the staff person authorized to 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record, date, and sign in each patient’s case record each change in the dosage schedule. Daily dosages of medications in excess of 100 milligrams shall be dispensed only with the approval of the program physician and shall be documented and justified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155.35(8)</w:t>
      </w:r>
      <w:r>
        <w:rPr>
          <w:rFonts w:ascii="Times New Roman" w:hAnsi="Times New Roman"/>
          <w:b w:val="false"/>
          <w:i w:val="false"/>
          <w:color w:val="000000"/>
          <w:sz w:val="22"/>
        </w:rPr>
        <w:t> </w:t>
      </w:r>
      <w:r>
        <w:rPr>
          <w:rFonts w:ascii="Times New Roman" w:hAnsi="Times New Roman"/>
          <w:b w:val="false"/>
          <w:i/>
          <w:color w:val="000000"/>
          <w:sz w:val="22"/>
        </w:rPr>
        <w:t xml:space="preserve">Take-home or unsupervised medication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Unsupervised (take-home) medication doses may be provided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patient in comprehensive treatment may receive individualized take-home doses as ordered for days that the clinic is closed for business, including one weekend day (e.g., Sunday) and state and federal holidays, no matter the patient’s length of time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OTP decisions on dispensing MOUD to patients for unsupervised use shall be determined by an appropriately licensed OTP medical practitioner or the medical director. In determining which patients may receive unsupervised medication doses, the medical director or program medical practitioner shall consider, among other pertinent factors that indicate that the therapeutic benefits of unsupervised doses outweigh the risks,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Absence of active substance use disorders, other physical or behavioral health conditions that increase the risk of patient harm as it relates to the potential for overdose, or the ability to function safely;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Regularity of attendance for supervised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of serious behavioral problems that endanger the patient, the public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Absence of known recent diversion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take-home medication can be safely transported and 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criteria that the medical director or medical practitioner considers relevant to the patient’s safety and the public’s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Such determinations and the basis for such determinations consistent with the criteria outlined shall be documented in the patient’s medical record. If it is determined that a patient is safely able to manage unsupervised doses of MOUD, the dispensing restrictions set forth in this rule apply. The dispensing restrictions set forth in this rule do not apply to buprenorphine and buprenorphine products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first 14 days of treatment, the take-home supply is limited to 7 days. It remains within the OTP practitioner’s discretion to determine the number of take-home doses up to seven days, but decisions must be based on the criteria listed in this 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15 days of treatment, the take-home supply is limited to 14 days. It remains within the OTP practitioner’s discretion to determine the number of take-home doses up to 14 days, but this determination must be based on the criteria listed in this 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31 days of treatment, the take-home supply provided to a patient is not to exceed 28 days. It remains within the OTP practitioner’s discretion to determine the number of take-home doses up to 28 days, but this determination must be based on the criteria listed in this subrule. The rationale underlying the decision to provide unsupervised doses of methadone must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OTPs must maintain current procedures adequate to identify the theft or diversion of take-home medications, including labeling containers with the OTP’s name, address, and telephone number. Programs also must ensure that each individual take-home dose is packaged in a manner that is designed to reduce the risk of accidental ingestion, including child-proof containers. Programs must provide education to each patient on the following: safely transporting medication from the OTP to the patient’s place of residence and the safe storage of take-home doses at the individual’s place of residence, including child and household safety precautions. The provision of this education should be documented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patient is unable to conform to the applicable mandatory schedule, a revised schedule may be permitted provided that the program receives an exception to these rules from the department and SAMHSA, when applicable. A copy of the written exception shall be placed in the patient’s case record. The department will consider exceptions only in unusual circumstances. When a program is applying for less frequent pickups for patients, approval will be based on considerations in addition to distance if another program exists within 25 miles of the patient’s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a patient receiving take-home medication provide a drug screen that is confirmed either positive for substances or negative for the prescribed medication, the program shall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155.35(9)</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Each program shall establish policies and procedures for the collection of drug-screening specimens and utilization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an initial drug-screening test or analysis is completed for each prospective patient and that at least eight additional random tests or analyses are performed on each patient during the patient’s first year in maintenance treatment and that at least quarterly random tests or analyses are performed on each patient in maintenance treatment for each subsequent year. When a sample is collected from each patient for such a test or analysis, it shall be done in a manner that minimizes opportunity for falsification. Each test or analysis shall be analyzed for opioids, methadone, amphetamines, cocaine, and barbiturates. In addition, if any other drug or drugs have been determined by a program to be abused in that program’s locality, or as otherwise indicated, each test or analysis must be analyzed for any of those drugs as well. Any laboratory that performs the testing required under this rule shall be in compliance with all applicable federal proficiency testing and licensing standards and all applicable state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test results are not used as the sole criterion to force a patient out of treatment but are used as a guide to change treatment approaches. The program shall also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155.35(10)</w:t>
      </w:r>
      <w:r>
        <w:rPr>
          <w:rFonts w:ascii="Times New Roman" w:hAnsi="Times New Roman"/>
          <w:b w:val="false"/>
          <w:i w:val="false"/>
          <w:color w:val="000000"/>
          <w:sz w:val="22"/>
        </w:rPr>
        <w:t> </w:t>
      </w:r>
      <w:r>
        <w:rPr>
          <w:rFonts w:ascii="Times New Roman" w:hAnsi="Times New Roman"/>
          <w:b w:val="false"/>
          <w:i/>
          <w:color w:val="000000"/>
          <w:sz w:val="22"/>
        </w:rPr>
        <w:t xml:space="preserve">Diversion prevention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 diversion identification and prevention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Outlines the methods by which the program shall detect possible diversion of take-home medication;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actions to be taken when diversion is identified or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and implement proactive procedures to reduce the likelihood or possibility of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155.35(11)</w:t>
      </w:r>
      <w:r>
        <w:rPr>
          <w:rFonts w:ascii="Times New Roman" w:hAnsi="Times New Roman"/>
          <w:b w:val="false"/>
          <w:i w:val="false"/>
          <w:color w:val="000000"/>
          <w:sz w:val="22"/>
        </w:rPr>
        <w:t> </w:t>
      </w:r>
      <w:r>
        <w:rPr>
          <w:rFonts w:ascii="Times New Roman" w:hAnsi="Times New Roman"/>
          <w:b w:val="false"/>
          <w:i/>
          <w:color w:val="000000"/>
          <w:sz w:val="22"/>
        </w:rPr>
        <w:t xml:space="preserve">Interim maintenance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offer interim maintenance treatment when, due to capacity, the program cannot place the patient in a program offering comprehensive services within 14 days of the patient’s application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provide interim maintenance treatment only if the program also provides comprehensive maintenance treatment to which interim maintenance treatment patients may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 public or nonprofit private narcotic treatment program may provide interim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must receive approval of both the U.S. Food and Drug Administration and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director must certify that the program seeking such authorization is unable to place patients in a public or private nonprofit program within a reasonable geographic area within 14 days of the patient’s application for admission and that interim maintenance treatment will not reduce the capacity of the program’s comprehensive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Patients admitted to interim maintenance treatment shall be transferred to comprehensive maintenance treatment within 120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Minimum standards for interim maintenance treatment. The program may admit a patient who is eligible for comprehensive maintenance treatment to interim maintenance treatment if the patient cannot be placed in a public or private nonprofit comprehensive program within a reasonable geographic area and within 14 days of application for services. An initial drug screen and at least two other drug screens shall be taken from the patient during the maximum admission period of 120 days. A program shall establish and follow reasonable criteria for determining the transfer of patients to comprehensive maintenance treatment. These transfer criteria shall be in writing and available for inspection and shall include at a minimum a preference for the transfer of pregnant patients. Interim maintenance shall be conducted in accordance with all applicable federal regulations and state rules. The program shall notify the department when a patient begins interim treatment, when a patient leaves interim treatment, and when a patient transfers to comprehensive maintenance treatment. Such notifications shall be documented by the program in the patient’s case record. All requirements for comprehensive maintenance treatment apply to interim maintenance treatment,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medication is required to be administered daily under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Take-home medication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and comprehensive treatment plans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primary counselor is not required to be assigned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cannot be provided for longer than 120 days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155.35(12)</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All opioid treatment programs shall obtain and retain accreditation by a recognized national accreditation organization. The national accreditation bodies currently recognized as meeting committee criteria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TUBERCULOSIS (TB) SCREENING: HEALTH CARE WORKERS AND RESIDENTS</w:t>
      </w:r>
    </w:p>
    <w:p>
      <w:pPr>
        <w:spacing w:before="210" w:after="0"/>
        <w:ind w:left="120"/>
        <w:jc w:val="both"/>
      </w:pPr>
      <w:r>
        <w:rPr>
          <w:rFonts w:ascii="Times New Roman" w:hAnsi="Times New Roman"/>
          <w:b/>
          <w:i w:val="false"/>
          <w:color w:val="000000"/>
          <w:sz w:val="22"/>
        </w:rPr>
        <w:t>641—155.36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641—155.37</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“Bacille Calmette-Guerin vaccination”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“BCG vaccination” </w:t>
      </w:r>
      <w:r>
        <w:rPr>
          <w:rFonts w:ascii="Times New Roman" w:hAnsi="Times New Roman"/>
          <w:b w:val="false"/>
          <w:i w:val="false"/>
          <w:color w:val="000000"/>
          <w:sz w:val="22"/>
        </w:rPr>
        <w:t xml:space="preserve">means a vaccine for tuberculosis (TB). BCG is used in many countries with a high prevalence of TB to prevent childhood tuberculosis meningitis and military disease. BCG is not generally recommended for use in the United States because of the low risk of infection with </w:t>
      </w:r>
      <w:r>
        <w:rPr>
          <w:rFonts w:ascii="Times New Roman" w:hAnsi="Times New Roman"/>
          <w:b w:val="false"/>
          <w:i/>
          <w:color w:val="000000"/>
          <w:sz w:val="22"/>
        </w:rPr>
        <w:t>Mycobacterium tuberculosis</w:t>
      </w:r>
      <w:r>
        <w:rPr>
          <w:rFonts w:ascii="Times New Roman" w:hAnsi="Times New Roman"/>
          <w:b w:val="false"/>
          <w:i w:val="false"/>
          <w:color w:val="000000"/>
          <w:sz w:val="22"/>
        </w:rPr>
        <w:t>, the variable effectiveness of the vaccine against adult pulmonary TB, and the vaccine’s potential interference with tuberculin skin test reactivity.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w:t>
      </w:r>
      <w:r>
        <w:rPr>
          <w:rFonts w:ascii="Times New Roman" w:hAnsi="Times New Roman"/>
          <w:b w:val="false"/>
          <w:i w:val="false"/>
          <w:color w:val="000000"/>
          <w:sz w:val="22"/>
        </w:rPr>
        <w:t xml:space="preserve">means the screening of staff and residents for latent tuberculosis infection (LTBI) and TB disease at the beginning of employment or upon admission to a facility. Baseline TB screening includes a symptom screen for all staff and residents and tuberculin skin tests (TSTs) or interferon-gamma release assay (IGRA) for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for those staff and residents with previous negative test results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“baseline IGRA” </w:t>
      </w:r>
      <w:r>
        <w:rPr>
          <w:rFonts w:ascii="Times New Roman" w:hAnsi="Times New Roman"/>
          <w:b w:val="false"/>
          <w:i w:val="false"/>
          <w:color w:val="000000"/>
          <w:sz w:val="22"/>
        </w:rPr>
        <w:t>means the TST or IGRA, respectively, that is administered at the beginning of employment to newly hired staff or upon admission to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“Boosting” </w:t>
      </w:r>
      <w:r>
        <w:rPr>
          <w:rFonts w:ascii="Times New Roman" w:hAnsi="Times New Roman"/>
          <w:b w:val="false"/>
          <w:i w:val="false"/>
          <w:color w:val="000000"/>
          <w:sz w:val="22"/>
        </w:rPr>
        <w:t xml:space="preserve">means a phenomenon in which a person has a negative TST (i.e., false-negative) result years after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and then a positive subsequent TST result. The positive TST result is caused by a boosted immune response of previous sensitivity rather than by a new infection (false-positive TST conversion). Two-step testing reduces the likelihood of mistaking a boosted reaction for a new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“Extrapulmonary TB” </w:t>
      </w:r>
      <w:r>
        <w:rPr>
          <w:rFonts w:ascii="Times New Roman" w:hAnsi="Times New Roman"/>
          <w:b w:val="false"/>
          <w:i w:val="false"/>
          <w:color w:val="000000"/>
          <w:sz w:val="22"/>
        </w:rPr>
        <w:t>means TB disease in any part of the body other than the lungs (e.g., kidney, spine, or lymph nodes).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“Interferon-gamma release assay”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“IGRA” </w:t>
      </w:r>
      <w:r>
        <w:rPr>
          <w:rFonts w:ascii="Times New Roman" w:hAnsi="Times New Roman"/>
          <w:b w:val="false"/>
          <w:i w:val="false"/>
          <w:color w:val="000000"/>
          <w:sz w:val="22"/>
        </w:rPr>
        <w:t xml:space="preserve">means a whole-blood test that can aid in diagnosing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“Laryngeal TB” </w:t>
      </w:r>
      <w:r>
        <w:rPr>
          <w:rFonts w:ascii="Times New Roman" w:hAnsi="Times New Roman"/>
          <w:b w:val="false"/>
          <w:i w:val="false"/>
          <w:color w:val="000000"/>
          <w:sz w:val="22"/>
        </w:rPr>
        <w:t>means a form of TB disease that involves the larynx and may be highly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“Latent TB infection”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“LTBI” </w:t>
      </w:r>
      <w:r>
        <w:rPr>
          <w:rFonts w:ascii="Times New Roman" w:hAnsi="Times New Roman"/>
          <w:b w:val="false"/>
          <w:i w:val="false"/>
          <w:color w:val="000000"/>
          <w:sz w:val="22"/>
        </w:rPr>
        <w:t xml:space="preserve">means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without symptoms or signs of disease having manifested.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“Mantoux method” </w:t>
      </w:r>
      <w:r>
        <w:rPr>
          <w:rFonts w:ascii="Times New Roman" w:hAnsi="Times New Roman"/>
          <w:b w:val="false"/>
          <w:i w:val="false"/>
          <w:color w:val="000000"/>
          <w:sz w:val="22"/>
        </w:rPr>
        <w:t>means a skin test performed by intradermally injecting 0.1 mL of purified protein derivative (PPD) tuberculin solution into the volar or dorsal surface of the forearm.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“Pulmonary TB” </w:t>
      </w:r>
      <w:r>
        <w:rPr>
          <w:rFonts w:ascii="Times New Roman" w:hAnsi="Times New Roman"/>
          <w:b w:val="false"/>
          <w:i w:val="false"/>
          <w:color w:val="000000"/>
          <w:sz w:val="22"/>
        </w:rPr>
        <w:t>means TB disease that occurs in the lung parenchyma, usually producing a cough that lasts three weeks or longer. Pulmonary TB is usually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“Purified protein derivative (PPD) tuberculin” </w:t>
      </w:r>
      <w:r>
        <w:rPr>
          <w:rFonts w:ascii="Times New Roman" w:hAnsi="Times New Roman"/>
          <w:b w:val="false"/>
          <w:i w:val="false"/>
          <w:color w:val="000000"/>
          <w:sz w:val="22"/>
        </w:rPr>
        <w:t xml:space="preserve">means a material used in diagnostic tests for detecting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classification” </w:t>
      </w:r>
      <w:r>
        <w:rPr>
          <w:rFonts w:ascii="Times New Roman" w:hAnsi="Times New Roman"/>
          <w:b w:val="false"/>
          <w:i w:val="false"/>
          <w:color w:val="000000"/>
          <w:sz w:val="22"/>
        </w:rPr>
        <w:t>means the category on which the infection control team, or designated other, determines the setting’s TB risk classification is based as a result of the TB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“Serial screening” </w:t>
      </w:r>
      <w:r>
        <w:rPr>
          <w:rFonts w:ascii="Times New Roman" w:hAnsi="Times New Roman"/>
          <w:b w:val="false"/>
          <w:i w:val="false"/>
          <w:color w:val="000000"/>
          <w:sz w:val="22"/>
        </w:rPr>
        <w:t xml:space="preserve">refers to TB screening performed at regular intervals following baseline TB screening. Serial TB screening, also called annual or ongoing TB testing, consists of two components: (1) assessing for current symptoms of active TB disease and (2) testing for the presence of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by administering either a TST or single IGRA.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“Symptom screen” </w:t>
      </w:r>
      <w:r>
        <w:rPr>
          <w:rFonts w:ascii="Times New Roman" w:hAnsi="Times New Roman"/>
          <w:b w:val="false"/>
          <w:i w:val="false"/>
          <w:color w:val="000000"/>
          <w:sz w:val="22"/>
        </w:rPr>
        <w:t>means a procedure used during a clinical evaluation in which patients are asked if they have experienced any departure from normal in function, appearance, or sensation related to TB disease (e.g., cough).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patient” </w:t>
      </w:r>
      <w:r>
        <w:rPr>
          <w:rFonts w:ascii="Times New Roman" w:hAnsi="Times New Roman"/>
          <w:b w:val="false"/>
          <w:i w:val="false"/>
          <w:color w:val="000000"/>
          <w:sz w:val="22"/>
        </w:rPr>
        <w:t>means a person who had undiagnosed infectious pulmonary or laryngeal TB while in the facility during the preceding year. “TB patient” does not include persons with LTBI (treated or untreated), extrapulmonary TB disease,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means an initial and ongoing evaluation of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a particular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screening” </w:t>
      </w:r>
      <w:r>
        <w:rPr>
          <w:rFonts w:ascii="Times New Roman" w:hAnsi="Times New Roman"/>
          <w:b w:val="false"/>
          <w:i w:val="false"/>
          <w:color w:val="000000"/>
          <w:sz w:val="22"/>
        </w:rPr>
        <w:t>means an administrative control measure in which evaluation for LTBI and TB disease is performed through baseline and serial screening of staff and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screening plan” </w:t>
      </w:r>
      <w:r>
        <w:rPr>
          <w:rFonts w:ascii="Times New Roman" w:hAnsi="Times New Roman"/>
          <w:b w:val="false"/>
          <w:i w:val="false"/>
          <w:color w:val="000000"/>
          <w:sz w:val="22"/>
        </w:rPr>
        <w:t xml:space="preserve">means a plan that facilities develop and implement that comprises four major components: (1)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(2)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(3) serial screening for signs or symptoms of TB disease, and (4) TB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for LTBI” </w:t>
      </w:r>
      <w:r>
        <w:rPr>
          <w:rFonts w:ascii="Times New Roman" w:hAnsi="Times New Roman"/>
          <w:b w:val="false"/>
          <w:i w:val="false"/>
          <w:color w:val="000000"/>
          <w:sz w:val="22"/>
        </w:rPr>
        <w:t xml:space="preserve">means treatment that prevents the progression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into TB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“TST” </w:t>
      </w:r>
      <w:r>
        <w:rPr>
          <w:rFonts w:ascii="Times New Roman" w:hAnsi="Times New Roman"/>
          <w:b w:val="false"/>
          <w:i w:val="false"/>
          <w:color w:val="000000"/>
          <w:sz w:val="22"/>
        </w:rPr>
        <w:t xml:space="preserve">means a diagnostic aid for finding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The Mantoux method is the recommended method to be used for the TST.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w:t>
      </w:r>
      <w:r>
        <w:rPr>
          <w:rFonts w:ascii="Times New Roman" w:hAnsi="Times New Roman"/>
          <w:b w:val="false"/>
          <w:i w:val="false"/>
          <w:color w:val="000000"/>
          <w:sz w:val="22"/>
        </w:rPr>
        <w:t xml:space="preserve">means the namesake member organism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and the most common causative infectious agent of TB disease in humans. In certain instances, the species name refers to the entire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which includes </w:t>
      </w:r>
      <w:r>
        <w:rPr>
          <w:rFonts w:ascii="Times New Roman" w:hAnsi="Times New Roman"/>
          <w:b w:val="false"/>
          <w:i/>
          <w:color w:val="000000"/>
          <w:sz w:val="22"/>
        </w:rPr>
        <w:t>M. bovis</w:t>
      </w:r>
      <w:r>
        <w:rPr>
          <w:rFonts w:ascii="Times New Roman" w:hAnsi="Times New Roman"/>
          <w:b w:val="false"/>
          <w:i w:val="false"/>
          <w:color w:val="000000"/>
          <w:sz w:val="22"/>
        </w:rPr>
        <w:t xml:space="preserve"> and </w:t>
      </w:r>
      <w:r>
        <w:rPr>
          <w:rFonts w:ascii="Times New Roman" w:hAnsi="Times New Roman"/>
          <w:b w:val="false"/>
          <w:i/>
          <w:color w:val="000000"/>
          <w:sz w:val="22"/>
        </w:rPr>
        <w:t>M. africanum</w:t>
      </w:r>
      <w:r>
        <w:rPr>
          <w:rFonts w:ascii="Times New Roman" w:hAnsi="Times New Roman"/>
          <w:b w:val="false"/>
          <w:i w:val="false"/>
          <w:color w:val="000000"/>
          <w:sz w:val="22"/>
        </w:rPr>
        <w:t xml:space="preserve">, </w:t>
      </w:r>
      <w:r>
        <w:rPr>
          <w:rFonts w:ascii="Times New Roman" w:hAnsi="Times New Roman"/>
          <w:b w:val="false"/>
          <w:i/>
          <w:color w:val="000000"/>
          <w:sz w:val="22"/>
        </w:rPr>
        <w:t>M. microti</w:t>
      </w:r>
      <w:r>
        <w:rPr>
          <w:rFonts w:ascii="Times New Roman" w:hAnsi="Times New Roman"/>
          <w:b w:val="false"/>
          <w:i w:val="false"/>
          <w:color w:val="000000"/>
          <w:sz w:val="22"/>
        </w:rPr>
        <w:t xml:space="preserve">, </w:t>
      </w:r>
      <w:r>
        <w:rPr>
          <w:rFonts w:ascii="Times New Roman" w:hAnsi="Times New Roman"/>
          <w:b w:val="false"/>
          <w:i/>
          <w:color w:val="000000"/>
          <w:sz w:val="22"/>
        </w:rPr>
        <w:t>M. canetti</w:t>
      </w:r>
      <w:r>
        <w:rPr>
          <w:rFonts w:ascii="Times New Roman" w:hAnsi="Times New Roman"/>
          <w:b w:val="false"/>
          <w:i w:val="false"/>
          <w:color w:val="000000"/>
          <w:sz w:val="22"/>
        </w:rPr>
        <w:t xml:space="preserve">, </w:t>
      </w:r>
      <w:r>
        <w:rPr>
          <w:rFonts w:ascii="Times New Roman" w:hAnsi="Times New Roman"/>
          <w:b w:val="false"/>
          <w:i/>
          <w:color w:val="000000"/>
          <w:sz w:val="22"/>
        </w:rPr>
        <w:t>M. caprae</w:t>
      </w:r>
      <w:r>
        <w:rPr>
          <w:rFonts w:ascii="Times New Roman" w:hAnsi="Times New Roman"/>
          <w:b w:val="false"/>
          <w:i w:val="false"/>
          <w:color w:val="000000"/>
          <w:sz w:val="22"/>
        </w:rPr>
        <w:t xml:space="preserve">, and </w:t>
      </w:r>
      <w:r>
        <w:rPr>
          <w:rFonts w:ascii="Times New Roman" w:hAnsi="Times New Roman"/>
          <w:b w:val="false"/>
          <w:i/>
          <w:color w:val="000000"/>
          <w:sz w:val="22"/>
        </w:rPr>
        <w:t>M. pinnipedii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disease” </w:t>
      </w:r>
      <w:r>
        <w:rPr>
          <w:rFonts w:ascii="Times New Roman" w:hAnsi="Times New Roman"/>
          <w:b w:val="false"/>
          <w:i w:val="false"/>
          <w:color w:val="000000"/>
          <w:sz w:val="22"/>
        </w:rPr>
        <w:t xml:space="preserve">means a condition caused by infection with a member of the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that has progressed to causing clinical (manifesting symptoms or signs) or subclinical (early stage of disease in which signs or symptoms are not present but other indications of disease activity are present)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“Two-step 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“two-step TST” </w:t>
      </w:r>
      <w:r>
        <w:rPr>
          <w:rFonts w:ascii="Times New Roman" w:hAnsi="Times New Roman"/>
          <w:b w:val="false"/>
          <w:i w:val="false"/>
          <w:color w:val="000000"/>
          <w:sz w:val="22"/>
        </w:rPr>
        <w:t>means the procedure used for the baseline skin testing of persons who will receive serial TSTs to reduce the likelihood of mistaking a boosted reaction for a new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641—155.38</w:t>
      </w:r>
      <w:r>
        <w:rPr>
          <w:rFonts w:ascii="Times New Roman" w:hAnsi="Times New Roman"/>
          <w:b/>
          <w:i w:val="false"/>
          <w:color w:val="000000"/>
          <w:sz w:val="22"/>
        </w:rPr>
        <w:t xml:space="preserve">(125,135) </w:t>
      </w:r>
      <w:r>
        <w:rPr>
          <w:rFonts w:ascii="Times New Roman" w:hAnsi="Times New Roman"/>
          <w:b/>
          <w:i w:val="false"/>
          <w:color w:val="000000"/>
          <w:sz w:val="22"/>
        </w:rPr>
        <w:t xml:space="preserve">Tuberculosis screening of staff and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155.38(1)</w:t>
      </w: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Annually, each facility shall conduct a TB risk assessment to evaluate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regardless of whether a person with suspected or confirmed TB disease is expected to be encountered in the facility. The TB risk assessment shall be utilized to determine the types of administrative, environmental, and respiratory protection controls needed and serves as an ongoing evaluation tool of the quality of TB infection control and for the identification of needed improvements in infection control measures. The risk assessment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 rate of 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persons with infectious TB encountered in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speed with which persons with infectious TB are suspected, isolated, and evaluated to determine if persons with infectious TB exposed staff or others in the facility. TB cases include persons who had undiagnosed infectious pulmonary or laryngeal TB while in the facility during the preceding year. This does not include persons with LTBI (treated or untreated), persons with extrapulmonary TB disease, or persons with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155.38(2)</w:t>
      </w:r>
      <w:r>
        <w:rPr>
          <w:rFonts w:ascii="Times New Roman" w:hAnsi="Times New Roman"/>
          <w:b w:val="false"/>
          <w:i w:val="false"/>
          <w:color w:val="000000"/>
          <w:sz w:val="22"/>
        </w:rPr>
        <w:t> </w:t>
      </w:r>
      <w:r>
        <w:rPr>
          <w:rFonts w:ascii="Times New Roman" w:hAnsi="Times New Roman"/>
          <w:b w:val="false"/>
          <w:i/>
          <w:color w:val="000000"/>
          <w:sz w:val="22"/>
        </w:rPr>
        <w:t xml:space="preserve">Facility risk classification. </w:t>
      </w:r>
      <w:r>
        <w:rPr>
          <w:rFonts w:ascii="Times New Roman" w:hAnsi="Times New Roman"/>
          <w:b w:val="false"/>
          <w:i w:val="false"/>
          <w:color w:val="000000"/>
          <w:sz w:val="22"/>
        </w:rPr>
        <w:t>The infection control team or designated staff in a facility is responsible for determining the type of risk classification of the facility. The facility risk classification is used to determine the frequency of TB screening. The facility risk classification may change due to an increase or decrease in the number of TB cases during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risk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 risk” means that a facility is one in which persons with active TB disease are not expected to be encountered and in which exposure to TB is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“Medium risk” means that a facility is one in which health care workers will or might be exposed to persons with active TB disease or to clinical specimens that might contain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ongoing transmission” means that a facility is one in which there is evidence of person-to-person transmission of </w:t>
      </w:r>
      <w:r>
        <w:rPr>
          <w:rFonts w:ascii="Times New Roman" w:hAnsi="Times New Roman"/>
          <w:b w:val="false"/>
          <w:i/>
          <w:color w:val="000000"/>
          <w:sz w:val="22"/>
        </w:rPr>
        <w:t>M. tuberculosis</w:t>
      </w:r>
      <w:r>
        <w:rPr>
          <w:rFonts w:ascii="Times New Roman" w:hAnsi="Times New Roman"/>
          <w:b w:val="false"/>
          <w:i w:val="false"/>
          <w:color w:val="000000"/>
          <w:sz w:val="22"/>
        </w:rPr>
        <w:t>. This classification is a temporary classification. If it is determined that this classification applies to a facility, the facility shall consult with the department’s TB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criteria—low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fewer than six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fewer than three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fewer than three TB patients for the preceding year, the facility will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six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three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three or more TB patients for the preceding year, the facility will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criteria—potential ongoing transmission. </w:t>
      </w:r>
      <w:r>
        <w:rPr>
          <w:rFonts w:ascii="Times New Roman" w:hAnsi="Times New Roman"/>
          <w:b w:val="false"/>
          <w:i w:val="false"/>
          <w:color w:val="000000"/>
          <w:sz w:val="22"/>
        </w:rPr>
        <w:t xml:space="preserve">If evidence of ongoing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transmission exists at a facility, the facility will be classified as potential ongoing transmission, regardless of the facility’s previous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155.38(3)</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facility staff members shall receive baseline TB screening upon hire.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may begin working with patients after a negative TB symptom screen (i.e., no symptoms of active TB disease) and a negative TST (i.e., first step) or a negative IGRA. The second TST may be performed after the staff member starts working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staff member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staff member with documentation of past positive test results (i.e., TST or IGRA) and documentation of the results of a chest radiograph indicating no active disease, dated after the date of the positive TST or IGRA test result, does not need another chest radiograph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staff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interferon-gamma (IFN-g)). All other staff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staff member has a documented TST result from any time during the previous 12 months. If a newly employed staff member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Previous BCG vaccination is not a contraindication to having an IGRA, a TST or two-step skin testing administered. Health care workers with previous BCG vaccination should receive baseline and serial testing in the same manner as those without BCG vaccination. Evaluation of TST reactions in persons vaccinated with BCG should be interpreted using the same criteria for those not BCG-vaccinated. A health care worker’s history of BCG vaccination should be disregarded when administering and interpreting TST results. Previous BCG vaccination does not cause a false-positive IGRA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155.38(4)</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low risk. </w:t>
      </w:r>
      <w:r>
        <w:rPr>
          <w:rFonts w:ascii="Times New Roman" w:hAnsi="Times New Roman"/>
          <w:b w:val="false"/>
          <w:i w:val="false"/>
          <w:color w:val="000000"/>
          <w:sz w:val="22"/>
        </w:rPr>
        <w:t xml:space="preserve">After baseline testing of staff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additional TB screening of staff is not necessary unless an exposure to </w:t>
      </w:r>
      <w:r>
        <w:rPr>
          <w:rFonts w:ascii="Times New Roman" w:hAnsi="Times New Roman"/>
          <w:b w:val="false"/>
          <w:i/>
          <w:color w:val="000000"/>
          <w:sz w:val="22"/>
        </w:rPr>
        <w:t>M. tuberculosis</w:t>
      </w:r>
      <w:r>
        <w:rPr>
          <w:rFonts w:ascii="Times New Roman" w:hAnsi="Times New Roman"/>
          <w:b w:val="false"/>
          <w:i w:val="false"/>
          <w:color w:val="000000"/>
          <w:sz w:val="22"/>
        </w:rPr>
        <w:t xml:space="preserv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undergoing baseline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staff should receive TB screening annually (i.e., symptom screen for all staff members and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for staff members with baseline negative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members with a baseline positive or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documentation of previous treatment for LTBI or TB disease shall receive one chest radiograph result to exclude TB disease. Instead of participating in serial testing, staff should receive a symptom screen annually. This screen should be accomplished by educating the staff about symptoms of TB disease and instructing the staff members to report any such symptoms immediately to the occupational health unit.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potential ongoing transmission. </w:t>
      </w:r>
      <w:r>
        <w:rPr>
          <w:rFonts w:ascii="Times New Roman" w:hAnsi="Times New Roman"/>
          <w:b w:val="false"/>
          <w:i w:val="false"/>
          <w:color w:val="000000"/>
          <w:sz w:val="22"/>
        </w:rPr>
        <w:t xml:space="preserve">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may need to be performed every eight to ten weeks until lapses in infection control have been corrected and no additional evidence of ongoing transmission is apparent. The potential ongoing transmission classification should be used only as a temporary classification. This classification warrants immediate investigation and corrective steps. After a determination that ongoing transmission has ceased, the setting will be reclassified as medium risk for a minimum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155.38(5)</w:t>
      </w:r>
      <w:r>
        <w:rPr>
          <w:rFonts w:ascii="Times New Roman" w:hAnsi="Times New Roman"/>
          <w:b w:val="false"/>
          <w:i w:val="false"/>
          <w:color w:val="000000"/>
          <w:sz w:val="22"/>
        </w:rPr>
        <w:t> </w:t>
      </w:r>
      <w:r>
        <w:rPr>
          <w:rFonts w:ascii="Times New Roman" w:hAnsi="Times New Roman"/>
          <w:b w:val="false"/>
          <w:i/>
          <w:color w:val="000000"/>
          <w:sz w:val="22"/>
        </w:rPr>
        <w:t xml:space="preserve">Screening of staff who transfer to other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another low-risk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is not necessary for staff transferring from a low-risk facility to another low-risk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 medium-risk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annual TB screening, including a symptom screen and TST or IGRA for persons with previously negative test results, should be performed for staff transferring from a low-risk facility to a medium-risk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155.38(6)</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TB screening is a formal procedure to evaluate residents for LTBI and TB disease.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assessed for current symptoms of active TB disease upon admission. Within 72 hours of a resident’s admission, baseline TB testing for infection shall be initiated unless baseline TB testing occurred within three months prior to the resident’s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with documentation of past positive test results (i.e., TST or IGRA) and documentation of the results of a chest radiograph indicating no active disease, dated after the date of the positive TST or IGRA test result, do not need another chest radiograph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residents with a documented history of TB disease, a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IFN-g). All other residents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resident has a documented TST result from any time during the previous 12 months. If a new resident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After baseline TB screening is accomplished, serial TB screening of the residents is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155.38(7)</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is discharged and readmitted to a facility and less than 12 months have passed since the last TB screening, residents should receive a symptom screen upon readmittance. This screen should be accomplished by educating the resident about symptoms of TB disease and instructing the resident to report any such symptoms immediately to the infection control team or designated other staff. If symptoms or signs of TB disease are documented, then a medical evaluation to include a chest X-ray to rule out TB disease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discharged and readmitted to a facility and more than 12 months have passed since the last TB screening, baseline TB screening should be repeated as outlined in subrule </w:t>
      </w:r>
      <w:hyperlink r:id="rId76">
        <w:r>
          <w:rPr>
            <w:rStyle w:val="Hyperlink"/>
            <w:rFonts w:ascii="Times New Roman" w:hAnsi="Times New Roman"/>
            <w:b w:val="false"/>
            <w:i w:val="false"/>
            <w:color w:val="000000"/>
            <w:sz w:val="22"/>
          </w:rPr>
          <w:t>155.38(6).</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9499C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7">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3/20/78—published 4/5/78, effective 3/20/78]</w:t>
      </w:r>
    </w:p>
    <w:p>
      <w:pPr>
        <w:spacing w:before="0" w:after="0"/>
        <w:ind w:left="120"/>
        <w:jc w:val="center"/>
      </w:pPr>
      <w:r>
        <w:rPr>
          <w:rFonts w:ascii="Times New Roman" w:hAnsi="Times New Roman"/>
          <w:b w:val="false"/>
          <w:i w:val="false"/>
          <w:color w:val="000000"/>
          <w:sz w:val="21"/>
        </w:rPr>
        <w:t>[Filed 6/9/78, Notice 5/3/78—published 6/28/78, effective 8/2/78]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12/14/78, Notice 11/1/78—published 12/27/78, effective 1/31/79]</w:t>
      </w:r>
    </w:p>
    <w:p>
      <w:pPr>
        <w:spacing w:before="0" w:after="0"/>
        <w:ind w:left="120"/>
        <w:jc w:val="center"/>
      </w:pPr>
      <w:r>
        <w:rPr>
          <w:rFonts w:ascii="Times New Roman" w:hAnsi="Times New Roman"/>
          <w:b w:val="false"/>
          <w:i w:val="false"/>
          <w:color w:val="000000"/>
          <w:sz w:val="21"/>
        </w:rPr>
        <w:t>[Filed 9/26/80, Notice 7/9/80—published 10/15/80, effective 11/19/80]</w:t>
      </w:r>
    </w:p>
    <w:p>
      <w:pPr>
        <w:spacing w:before="0" w:after="0"/>
        <w:ind w:left="120"/>
        <w:jc w:val="center"/>
      </w:pPr>
      <w:r>
        <w:rPr>
          <w:rFonts w:ascii="Times New Roman" w:hAnsi="Times New Roman"/>
          <w:b w:val="false"/>
          <w:i w:val="false"/>
          <w:color w:val="000000"/>
          <w:sz w:val="21"/>
        </w:rPr>
        <w:t>[Filed 1/30/81, Notice 12/10/80—published 2/18/81, effective 3/25/81]</w:t>
      </w:r>
    </w:p>
    <w:p>
      <w:pPr>
        <w:spacing w:before="0" w:after="0"/>
        <w:ind w:left="120"/>
        <w:jc w:val="center"/>
      </w:pPr>
      <w:r>
        <w:rPr>
          <w:rFonts w:ascii="Times New Roman" w:hAnsi="Times New Roman"/>
          <w:b w:val="false"/>
          <w:i w:val="false"/>
          <w:color w:val="000000"/>
          <w:sz w:val="21"/>
        </w:rPr>
        <w:t>[Filed 5/22/81, Notice 3/18/81—published 6/10/81, effective 7/15/81]</w:t>
      </w:r>
    </w:p>
    <w:p>
      <w:pPr>
        <w:spacing w:before="0" w:after="0"/>
        <w:ind w:left="120"/>
        <w:jc w:val="center"/>
      </w:pPr>
      <w:r>
        <w:rPr>
          <w:rFonts w:ascii="Times New Roman" w:hAnsi="Times New Roman"/>
          <w:b w:val="false"/>
          <w:i w:val="false"/>
          <w:color w:val="000000"/>
          <w:sz w:val="21"/>
        </w:rPr>
        <w:t>[Filed 9/18/81, Notice 7/22/81—published 10/14/81, effective 11/18/81]</w:t>
      </w:r>
    </w:p>
    <w:p>
      <w:pPr>
        <w:spacing w:before="0" w:after="0"/>
        <w:ind w:left="120"/>
        <w:jc w:val="center"/>
      </w:pPr>
      <w:r>
        <w:rPr>
          <w:rFonts w:ascii="Times New Roman" w:hAnsi="Times New Roman"/>
          <w:b w:val="false"/>
          <w:i w:val="false"/>
          <w:color w:val="000000"/>
          <w:sz w:val="21"/>
        </w:rPr>
        <w:t>[Filed 11/20/81, Notice 8/19/81—published 12/9/81, effective 1/13/82]</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emergency 3/26/82—published 4/14/82, effective 3/26/82]</w:t>
      </w:r>
    </w:p>
    <w:p>
      <w:pPr>
        <w:spacing w:before="0" w:after="0"/>
        <w:ind w:left="120"/>
        <w:jc w:val="center"/>
      </w:pPr>
      <w:r>
        <w:rPr>
          <w:rFonts w:ascii="Times New Roman" w:hAnsi="Times New Roman"/>
          <w:b w:val="false"/>
          <w:i w:val="false"/>
          <w:color w:val="000000"/>
          <w:sz w:val="21"/>
        </w:rPr>
        <w:t>[Filed 3/26/82, Notice 1/6/82—published 4/14/82, effective 5/19/82]</w:t>
      </w:r>
    </w:p>
    <w:p>
      <w:pPr>
        <w:spacing w:before="0" w:after="0"/>
        <w:ind w:left="120"/>
        <w:jc w:val="center"/>
      </w:pPr>
      <w:r>
        <w:rPr>
          <w:rFonts w:ascii="Times New Roman" w:hAnsi="Times New Roman"/>
          <w:b w:val="false"/>
          <w:i w:val="false"/>
          <w:color w:val="000000"/>
          <w:sz w:val="21"/>
        </w:rPr>
        <w:t>[Filed 9/24/82, Notice 6/23/82—published 10/13/82, effective 11/17/82]</w:t>
      </w:r>
    </w:p>
    <w:p>
      <w:pPr>
        <w:spacing w:before="0" w:after="0"/>
        <w:ind w:left="120"/>
        <w:jc w:val="center"/>
      </w:pPr>
      <w:r>
        <w:rPr>
          <w:rFonts w:ascii="Times New Roman" w:hAnsi="Times New Roman"/>
          <w:b w:val="false"/>
          <w:i w:val="false"/>
          <w:color w:val="000000"/>
          <w:sz w:val="21"/>
        </w:rPr>
        <w:t>[Filed 11/18/82, Notice 10/13/82—published 12/8/82, effective 1/12/83]</w:t>
      </w:r>
    </w:p>
    <w:p>
      <w:pPr>
        <w:spacing w:before="0" w:after="0"/>
        <w:ind w:left="120"/>
        <w:jc w:val="center"/>
      </w:pPr>
      <w:r>
        <w:rPr>
          <w:rFonts w:ascii="Times New Roman" w:hAnsi="Times New Roman"/>
          <w:b w:val="false"/>
          <w:i w:val="false"/>
          <w:color w:val="000000"/>
          <w:sz w:val="21"/>
        </w:rPr>
        <w:t>[Filed 6/2/83, Notice 4/13/83—published 6/22/83, effective 7/27/83]</w:t>
      </w:r>
    </w:p>
    <w:p>
      <w:pPr>
        <w:spacing w:before="0" w:after="0"/>
        <w:ind w:left="120"/>
        <w:jc w:val="center"/>
      </w:pPr>
      <w:r>
        <w:rPr>
          <w:rFonts w:ascii="Times New Roman" w:hAnsi="Times New Roman"/>
          <w:b w:val="false"/>
          <w:i w:val="false"/>
          <w:color w:val="000000"/>
          <w:sz w:val="21"/>
        </w:rPr>
        <w:t>[Filed emergency 7/27/84—published 8/15/84, effective 7/27/84]</w:t>
      </w:r>
    </w:p>
    <w:p>
      <w:pPr>
        <w:spacing w:before="0" w:after="0"/>
        <w:ind w:left="120"/>
        <w:jc w:val="center"/>
      </w:pPr>
      <w:r>
        <w:rPr>
          <w:rFonts w:ascii="Times New Roman" w:hAnsi="Times New Roman"/>
          <w:b w:val="false"/>
          <w:i w:val="false"/>
          <w:color w:val="000000"/>
          <w:sz w:val="21"/>
        </w:rPr>
        <w:t>[Filed 10/19/84, Notice 8/15/84—published 11/7/84, effective 12/12/84]</w:t>
      </w:r>
    </w:p>
    <w:p>
      <w:pPr>
        <w:spacing w:before="0" w:after="0"/>
        <w:ind w:left="120"/>
        <w:jc w:val="center"/>
      </w:pPr>
      <w:r>
        <w:rPr>
          <w:rFonts w:ascii="Times New Roman" w:hAnsi="Times New Roman"/>
          <w:b w:val="false"/>
          <w:i w:val="false"/>
          <w:color w:val="000000"/>
          <w:sz w:val="21"/>
        </w:rPr>
        <w:t>[Filed 9/20/85, Notice 6/19/85—published 10/9/85, effective 11/13/85]</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5/30/86, Notice 3/12/86—published 6/18/86, effective 7/23/86]</w:t>
      </w:r>
    </w:p>
    <w:p>
      <w:pPr>
        <w:spacing w:before="0" w:after="0"/>
        <w:ind w:left="120"/>
        <w:jc w:val="center"/>
      </w:pPr>
      <w:r>
        <w:rPr>
          <w:rFonts w:ascii="Times New Roman" w:hAnsi="Times New Roman"/>
          <w:b w:val="false"/>
          <w:i w:val="false"/>
          <w:color w:val="000000"/>
          <w:sz w:val="21"/>
        </w:rPr>
        <w:t>[Filed emergency 6/26/87—published 7/15/87, effective 6/26/87]</w:t>
      </w:r>
    </w:p>
    <w:p>
      <w:pPr>
        <w:spacing w:before="0" w:after="0"/>
        <w:ind w:left="120"/>
        <w:jc w:val="center"/>
      </w:pPr>
      <w:r>
        <w:rPr>
          <w:rFonts w:ascii="Times New Roman" w:hAnsi="Times New Roman"/>
          <w:b w:val="false"/>
          <w:i w:val="false"/>
          <w:color w:val="000000"/>
          <w:sz w:val="21"/>
        </w:rPr>
        <w:t>[Filed 7/8/88, Notice 3/23/88—published 7/27/88, effective 8/31/88]</w:t>
      </w:r>
    </w:p>
    <w:p>
      <w:pPr>
        <w:spacing w:before="0" w:after="0"/>
        <w:ind w:left="120"/>
        <w:jc w:val="center"/>
      </w:pPr>
      <w:r>
        <w:rPr>
          <w:rFonts w:ascii="Times New Roman" w:hAnsi="Times New Roman"/>
          <w:b w:val="false"/>
          <w:i w:val="false"/>
          <w:color w:val="000000"/>
          <w:sz w:val="21"/>
        </w:rPr>
        <w:t>[Filed 10/28/88, Notice 8/10/88—published 11/16/88, effective 12/21/88]</w:t>
      </w:r>
    </w:p>
    <w:p>
      <w:pPr>
        <w:spacing w:before="0" w:after="0"/>
        <w:ind w:left="120"/>
        <w:jc w:val="center"/>
      </w:pPr>
      <w:r>
        <w:rPr>
          <w:rFonts w:ascii="Times New Roman" w:hAnsi="Times New Roman"/>
          <w:b w:val="false"/>
          <w:i w:val="false"/>
          <w:color w:val="000000"/>
          <w:sz w:val="21"/>
        </w:rPr>
        <w:t>[Filed 7/2/93, Notice 4/14/93—published 7/21/93, effective 8/25/93]</w:t>
      </w:r>
    </w:p>
    <w:p>
      <w:pPr>
        <w:spacing w:before="0" w:after="0"/>
        <w:ind w:left="120"/>
        <w:jc w:val="center"/>
      </w:pPr>
      <w:r>
        <w:rPr>
          <w:rFonts w:ascii="Times New Roman" w:hAnsi="Times New Roman"/>
          <w:b w:val="false"/>
          <w:i w:val="false"/>
          <w:color w:val="000000"/>
          <w:sz w:val="21"/>
        </w:rPr>
        <w:t>[Filed 2/25/94, Notice 9/29/93—published 3/16/94, effective 4/20/94]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6/24/94—published 7/20/94, effective 6/24/94]</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9/8/95, Notice 5/24/95—published 9/27/95, effective 11/1/95]</w:t>
      </w:r>
    </w:p>
    <w:p>
      <w:pPr>
        <w:spacing w:before="0" w:after="0"/>
        <w:ind w:left="120"/>
        <w:jc w:val="center"/>
      </w:pPr>
      <w:r>
        <w:rPr>
          <w:rFonts w:ascii="Times New Roman" w:hAnsi="Times New Roman"/>
          <w:b w:val="false"/>
          <w:i w:val="false"/>
          <w:color w:val="000000"/>
          <w:sz w:val="21"/>
        </w:rPr>
        <w:t>[Filed 3/6/98, Notice 11/19/97—published 3/25/98, effective 4/29/98]</w:t>
      </w:r>
    </w:p>
    <w:p>
      <w:pPr>
        <w:spacing w:before="0" w:after="0"/>
        <w:ind w:left="120"/>
        <w:jc w:val="center"/>
      </w:pPr>
      <w:r>
        <w:rPr>
          <w:rFonts w:ascii="Times New Roman" w:hAnsi="Times New Roman"/>
          <w:b w:val="false"/>
          <w:i w:val="false"/>
          <w:color w:val="000000"/>
          <w:sz w:val="21"/>
        </w:rPr>
        <w:t>[Filed 12/20/00, Notice 8/9/00—published 1/10/01, effective 2/14/01]</w:t>
      </w:r>
    </w:p>
    <w:p>
      <w:pPr>
        <w:spacing w:before="0" w:after="0"/>
        <w:ind w:left="120"/>
        <w:jc w:val="center"/>
      </w:pPr>
      <w:r>
        <w:rPr>
          <w:rFonts w:ascii="Times New Roman" w:hAnsi="Times New Roman"/>
          <w:b w:val="false"/>
          <w:i w:val="false"/>
          <w:color w:val="000000"/>
          <w:sz w:val="21"/>
        </w:rPr>
        <w:t>[Filed 6/22/01, Notice 3/21/01—published 7/11/01, effective 8/15/01]</w:t>
      </w:r>
    </w:p>
    <w:p>
      <w:pPr>
        <w:spacing w:before="0" w:after="0"/>
        <w:ind w:left="120"/>
        <w:jc w:val="center"/>
      </w:pPr>
      <w:r>
        <w:rPr>
          <w:rFonts w:ascii="Times New Roman" w:hAnsi="Times New Roman"/>
          <w:b w:val="false"/>
          <w:i w:val="false"/>
          <w:color w:val="000000"/>
          <w:sz w:val="21"/>
        </w:rPr>
        <w:t>[Filed 8/29/02, Notice 6/26/02—published 9/18/02, effective 10/23/02]</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Emergency After Notice ARC 8792B</w:t>
      </w:r>
      <w:r>
        <w:rPr>
          <w:rFonts w:ascii="Times New Roman" w:hAnsi="Times New Roman"/>
          <w:b w:val="false"/>
          <w:i w:val="false"/>
          <w:color w:val="000000"/>
          <w:sz w:val="21"/>
        </w:rPr>
        <w:t xml:space="preserve"> (Notice ARC 8628B, IAB 3/24/10)</w:t>
      </w:r>
      <w:r>
        <w:rPr>
          <w:rFonts w:ascii="Times New Roman" w:hAnsi="Times New Roman"/>
          <w:b w:val="false"/>
          <w:i w:val="false"/>
          <w:color w:val="000000"/>
          <w:sz w:val="21"/>
        </w:rPr>
        <w:t>, IAB 6/2/10, effective 7/1/10]</w:t>
      </w:r>
    </w:p>
    <w:p>
      <w:pPr>
        <w:spacing w:before="0" w:after="0"/>
        <w:ind w:left="120"/>
        <w:jc w:val="center"/>
      </w:pPr>
      <w:r>
        <w:rPr>
          <w:rFonts w:ascii="Times New Roman" w:hAnsi="Times New Roman"/>
          <w:b w:val="false"/>
          <w:i w:val="false"/>
          <w:color w:val="000000"/>
          <w:sz w:val="21"/>
        </w:rPr>
        <w:t>[Filed ARC 9534B</w:t>
      </w:r>
      <w:r>
        <w:rPr>
          <w:rFonts w:ascii="Times New Roman" w:hAnsi="Times New Roman"/>
          <w:b w:val="false"/>
          <w:i w:val="false"/>
          <w:color w:val="000000"/>
          <w:sz w:val="21"/>
        </w:rPr>
        <w:t xml:space="preserve"> (Notice ARC 9436B, IAB 3/23/11)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9774B</w:t>
      </w:r>
      <w:r>
        <w:rPr>
          <w:rFonts w:ascii="Times New Roman" w:hAnsi="Times New Roman"/>
          <w:b w:val="false"/>
          <w:i w:val="false"/>
          <w:color w:val="000000"/>
          <w:sz w:val="21"/>
        </w:rPr>
        <w:t xml:space="preserve"> (Notice ARC 9638B,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0365C</w:t>
      </w:r>
      <w:r>
        <w:rPr>
          <w:rFonts w:ascii="Times New Roman" w:hAnsi="Times New Roman"/>
          <w:b w:val="false"/>
          <w:i w:val="false"/>
          <w:color w:val="000000"/>
          <w:sz w:val="21"/>
        </w:rPr>
        <w:t xml:space="preserve"> (Notice ARC 0227C, IAB 7/25/12)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1926C</w:t>
      </w:r>
      <w:r>
        <w:rPr>
          <w:rFonts w:ascii="Times New Roman" w:hAnsi="Times New Roman"/>
          <w:b w:val="false"/>
          <w:i w:val="false"/>
          <w:color w:val="000000"/>
          <w:sz w:val="21"/>
        </w:rPr>
        <w:t xml:space="preserve"> (Notice ARC 1745C, IAB 12/10/14; </w:t>
      </w:r>
      <w:r>
        <w:rPr>
          <w:rFonts w:ascii="Times New Roman" w:hAnsi="Times New Roman"/>
          <w:b w:val="false"/>
          <w:i w:val="false"/>
          <w:color w:val="000000"/>
          <w:sz w:val="21"/>
        </w:rPr>
        <w:t>Amended Notice ARC 1814C, IAB 1/7/15)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4706C</w:t>
      </w:r>
      <w:r>
        <w:rPr>
          <w:rFonts w:ascii="Times New Roman" w:hAnsi="Times New Roman"/>
          <w:b w:val="false"/>
          <w:i w:val="false"/>
          <w:color w:val="000000"/>
          <w:sz w:val="21"/>
        </w:rPr>
        <w:t xml:space="preserve"> (Notice ARC 4541C,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9499C</w:t>
      </w:r>
      <w:r>
        <w:rPr>
          <w:rFonts w:ascii="Times New Roman" w:hAnsi="Times New Roman"/>
          <w:b w:val="false"/>
          <w:i w:val="false"/>
          <w:color w:val="000000"/>
          <w:sz w:val="21"/>
        </w:rPr>
        <w:t xml:space="preserve"> (Notice ARC 9376C, IAB 6/25/25)</w:t>
      </w:r>
      <w:r>
        <w:rPr>
          <w:rFonts w:ascii="Times New Roman" w:hAnsi="Times New Roman"/>
          <w:b w:val="false"/>
          <w:i w:val="false"/>
          <w:color w:val="000000"/>
          <w:sz w:val="21"/>
        </w:rPr>
        <w:t>, IAB 8/20/25, effective 10/1/25]</w:t>
      </w:r>
    </w:p>
    <w:p>
      <w:pPr>
        <w:pBdr>
          <w:bottom w:space="2"/>
        </w:pBdr>
        <w:spacing w:before="0" w:after="0"/>
        <w:ind w:left="120"/>
        <w:jc w:val="both"/>
      </w:pPr>
      <w:r>
        <w:rPr>
          <w:rFonts w:ascii="Times New Roman" w:hAnsi="Times New Roman"/>
          <w:b w:val="false"/>
          <w:i w:val="false"/>
          <w:color w:val="000000"/>
          <w:sz w:val="22"/>
        </w:rPr>
        <w:t>Effective date of Ch 3 delayed by the Administrative Rules Review Committee 70 days from 8/2/78.</w:t>
      </w:r>
      <w:r>
        <w:br/>
      </w:r>
      <w:r>
        <w:rPr>
          <w:rFonts w:ascii="Times New Roman" w:hAnsi="Times New Roman"/>
          <w:b w:val="false"/>
          <w:i w:val="false"/>
          <w:color w:val="000000"/>
          <w:sz w:val="22"/>
        </w:rPr>
        <w:t>Delay suspended by the Administrative Rules Review Committee at their meeting held on 9/11/78.</w:t>
      </w:r>
    </w:p>
    <w:p>
      <w:pPr>
        <w:pBdr>
          <w:bottom w:space="2"/>
        </w:pBdr>
        <w:spacing w:before="0" w:after="0"/>
        <w:ind w:left="120"/>
        <w:jc w:val="both"/>
      </w:pPr>
      <w:r>
        <w:rPr>
          <w:rFonts w:ascii="Times New Roman" w:hAnsi="Times New Roman"/>
          <w:b w:val="false"/>
          <w:i w:val="false"/>
          <w:color w:val="000000"/>
          <w:sz w:val="22"/>
        </w:rPr>
        <w:t>Effective date of 643—3.35(125) delayed 70 days by the Administrative Rules Review Committee at its meeting held April 11, 1994; on June 15, 1994, the Committee voted to delay the rule until adjournment of the 1995 General Assembly.</w:t>
      </w:r>
    </w:p>
    <w:sectPr>
      <w:footerReference r:id="rId8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24.101.pdf" Type="http://schemas.openxmlformats.org/officeDocument/2006/relationships/hyperlink" Id="rId6"/>
    <Relationship TargetMode="External" Target="https://www.legis.iowa.gov/docs/iac/rule/641.155.21.pdf" Type="http://schemas.openxmlformats.org/officeDocument/2006/relationships/hyperlink" Id="rId7"/>
    <Relationship TargetMode="External" Target="https://www.legis.iowa.gov/docs/iac/rule/641.155.2.pdf" Type="http://schemas.openxmlformats.org/officeDocument/2006/relationships/hyperlink" Id="rId8"/>
    <Relationship TargetMode="External" Target="https://www.legis.iowa.gov/docs/iac/rule/641.155.34.pdf" Type="http://schemas.openxmlformats.org/officeDocument/2006/relationships/hyperlink" Id="rId9"/>
    <Relationship TargetMode="External" Target="https://www.legis.iowa.gov/docs/iac/rule/641.155.2.pdf" Type="http://schemas.openxmlformats.org/officeDocument/2006/relationships/hyperlink" Id="rId10"/>
    <Relationship TargetMode="External" Target="https://www.legis.iowa.gov/docs/iac/rule/641.155.34.pdf" Type="http://schemas.openxmlformats.org/officeDocument/2006/relationships/hyperlink" Id="rId11"/>
    <Relationship TargetMode="External" Target="https://www.legis.iowa.gov/docs/ico/chapter/125.13.pdf" Type="http://schemas.openxmlformats.org/officeDocument/2006/relationships/hyperlink" Id="rId12"/>
    <Relationship TargetMode="External" Target="https://www.legis.iowa.gov/docs/ico/chapter/135B.pdf" Type="http://schemas.openxmlformats.org/officeDocument/2006/relationships/hyperlink" Id="rId13"/>
    <Relationship TargetMode="External" Target="https://www.legis.iowa.gov/docs/ico/chapter/226.pdf" Type="http://schemas.openxmlformats.org/officeDocument/2006/relationships/hyperlink" Id="rId14"/>
    <Relationship TargetMode="External" Target="https://www.legis.iowa.gov/docs/ico/chapter/148.pdf" Type="http://schemas.openxmlformats.org/officeDocument/2006/relationships/hyperlink" Id="rId15"/>
    <Relationship TargetMode="External" Target="https://www.legis.iowa.gov/docs/ico/chapter/125.21.pdf" Type="http://schemas.openxmlformats.org/officeDocument/2006/relationships/hyperlink" Id="rId16"/>
    <Relationship TargetMode="External" Target="https://www.legis.iowa.gov/docs/iac/rule/641.155.2.pdf" Type="http://schemas.openxmlformats.org/officeDocument/2006/relationships/hyperlink" Id="rId17"/>
    <Relationship TargetMode="External" Target="https://www.legis.iowa.gov/docs/iac/rule/641.155.35.pdf" Type="http://schemas.openxmlformats.org/officeDocument/2006/relationships/hyperlink" Id="rId18"/>
    <Relationship TargetMode="External" Target="https://www.legis.iowa.gov/docs/ico/chapter/321J.pdf" Type="http://schemas.openxmlformats.org/officeDocument/2006/relationships/hyperlink" Id="rId19"/>
    <Relationship TargetMode="External" Target="https://www.legis.iowa.gov/docs/iac/rule/641.155.2.pdf" Type="http://schemas.openxmlformats.org/officeDocument/2006/relationships/hyperlink" Id="rId20"/>
    <Relationship TargetMode="External" Target="https://www.legis.iowa.gov/docs/ico/chapter/514C.34.pdf" Type="http://schemas.openxmlformats.org/officeDocument/2006/relationships/hyperlink" Id="rId21"/>
    <Relationship TargetMode="External" Target="https://www.legis.iowa.gov/docs/ico/chapter/125.13.pdf" Type="http://schemas.openxmlformats.org/officeDocument/2006/relationships/hyperlink" Id="rId22"/>
    <Relationship TargetMode="External" Target="https://www.legis.iowa.gov/docs/ico/chapter/135.150.pdf" Type="http://schemas.openxmlformats.org/officeDocument/2006/relationships/hyperlink" Id="rId23"/>
    <Relationship TargetMode="External" Target="https://www.legis.iowa.gov/docs/ico/chapter/125.pdf" Type="http://schemas.openxmlformats.org/officeDocument/2006/relationships/hyperlink" Id="rId24"/>
    <Relationship TargetMode="External" Target="https://www.legis.iowa.gov/docs/ico/chapter/135.150.pdf" Type="http://schemas.openxmlformats.org/officeDocument/2006/relationships/hyperlink" Id="rId25"/>
    <Relationship TargetMode="External" Target="https://www.legis.iowa.gov/docs/ico/chapter/125.14A.pdf" Type="http://schemas.openxmlformats.org/officeDocument/2006/relationships/hyperlink" Id="rId26"/>
    <Relationship TargetMode="External" Target="https://www.legis.iowa.gov/docs/iac/rule/641.155.9.pdf" Type="http://schemas.openxmlformats.org/officeDocument/2006/relationships/hyperlink" Id="rId27"/>
    <Relationship TargetMode="External" Target="https://www.legis.iowa.gov/docs/iac/rule/641.155.16.pdf" Type="http://schemas.openxmlformats.org/officeDocument/2006/relationships/hyperlink" Id="rId28"/>
    <Relationship TargetMode="External" Target="https://www.legis.iowa.gov/docs/iac/rule/641.155.10.pdf" Type="http://schemas.openxmlformats.org/officeDocument/2006/relationships/hyperlink" Id="rId29"/>
    <Relationship TargetMode="External" Target="https://www.legis.iowa.gov/docs/iac/chapter/441.16.pdf" Type="http://schemas.openxmlformats.org/officeDocument/2006/relationships/hyperlink" Id="rId30"/>
    <Relationship TargetMode="External" Target="https://www.legis.iowa.gov/docs/iac/rule/641.155.9.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co/chapter/17A.18.pdf" Type="http://schemas.openxmlformats.org/officeDocument/2006/relationships/hyperlink" Id="rId33"/>
    <Relationship TargetMode="External" Target="https://www.legis.iowa.gov/docs/ico/chapter/125.15A.pdf" Type="http://schemas.openxmlformats.org/officeDocument/2006/relationships/hyperlink" Id="rId34"/>
    <Relationship TargetMode="External" Target="https://www.legis.iowa.gov/docs/ico/chapter/17A.18A.pdf" Type="http://schemas.openxmlformats.org/officeDocument/2006/relationships/hyperlink" Id="rId35"/>
    <Relationship TargetMode="External" Target="https://www.legis.iowa.gov/docs/ico/chapter/125.15A.pdf" Type="http://schemas.openxmlformats.org/officeDocument/2006/relationships/hyperlink" Id="rId36"/>
    <Relationship TargetMode="External" Target="https://www.legis.iowa.gov/docs/iac/chapter/441.7.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ac/rule/641.155.11.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25.37.pdf" Type="http://schemas.openxmlformats.org/officeDocument/2006/relationships/hyperlink" Id="rId42"/>
    <Relationship TargetMode="External" Target="https://www.legis.iowa.gov/docs/iac/rule/641.155.11.pdf" Type="http://schemas.openxmlformats.org/officeDocument/2006/relationships/hyperlink" Id="rId43"/>
    <Relationship TargetMode="External" Target="https://www.legis.iowa.gov/docs/iac/rule/641.155.11.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504.pdf" Type="http://schemas.openxmlformats.org/officeDocument/2006/relationships/hyperlink" Id="rId46"/>
    <Relationship TargetMode="External" Target="https://www.legis.iowa.gov/docs/ico/chapter/154D.pdf" Type="http://schemas.openxmlformats.org/officeDocument/2006/relationships/hyperlink" Id="rId47"/>
    <Relationship TargetMode="External" Target="https://www.legis.iowa.gov/docs/ico/chapter/147.pdf" Type="http://schemas.openxmlformats.org/officeDocument/2006/relationships/hyperlink" Id="rId48"/>
    <Relationship TargetMode="External" Target="https://www.legis.iowa.gov/docs/ico/chapter/154C.pdf" Type="http://schemas.openxmlformats.org/officeDocument/2006/relationships/hyperlink" Id="rId49"/>
    <Relationship TargetMode="External" Target="https://www.legis.iowa.gov/docs/ico/chapter/147.pdf" Type="http://schemas.openxmlformats.org/officeDocument/2006/relationships/hyperlink" Id="rId50"/>
    <Relationship TargetMode="External" Target="https://www.legis.iowa.gov/docs/ico/chapter/154C.pdf" Type="http://schemas.openxmlformats.org/officeDocument/2006/relationships/hyperlink" Id="rId51"/>
    <Relationship TargetMode="External" Target="https://www.legis.iowa.gov/docs/ico/chapter/147.pdf" Type="http://schemas.openxmlformats.org/officeDocument/2006/relationships/hyperlink" Id="rId52"/>
    <Relationship TargetMode="External" Target="https://www.legis.iowa.gov/docs/ico/chapter/154C.pdf" Type="http://schemas.openxmlformats.org/officeDocument/2006/relationships/hyperlink" Id="rId53"/>
    <Relationship TargetMode="External" Target="https://www.legis.iowa.gov/docs/ico/chapter/147.pdf" Type="http://schemas.openxmlformats.org/officeDocument/2006/relationships/hyperlink" Id="rId54"/>
    <Relationship TargetMode="External" Target="https://www.legis.iowa.gov/docs/iac/rule/641.155.21.pdf" Type="http://schemas.openxmlformats.org/officeDocument/2006/relationships/hyperlink" Id="rId55"/>
    <Relationship TargetMode="External" Target="https://www.legis.iowa.gov/docs/ico/chapter/232.67.pdf" Type="http://schemas.openxmlformats.org/officeDocument/2006/relationships/hyperlink" Id="rId56"/>
    <Relationship TargetMode="External" Target="https://www.legis.iowa.gov/docs/ico/chapter/232.70.pdf" Type="http://schemas.openxmlformats.org/officeDocument/2006/relationships/hyperlink" Id="rId57"/>
    <Relationship TargetMode="External" Target="https://www.legis.iowa.gov/docs/ico/chapter/125.14A.pdf" Type="http://schemas.openxmlformats.org/officeDocument/2006/relationships/hyperlink" Id="rId58"/>
    <Relationship TargetMode="External" Target="https://www.legis.iowa.gov/docs/ico/chapter/235B.pdf" Type="http://schemas.openxmlformats.org/officeDocument/2006/relationships/hyperlink" Id="rId59"/>
    <Relationship TargetMode="External" Target="https://www.legis.iowa.gov/docs/ico/chapter/125.14A.pdf" Type="http://schemas.openxmlformats.org/officeDocument/2006/relationships/hyperlink" Id="rId60"/>
    <Relationship TargetMode="External" Target="https://www.legis.iowa.gov/docs/ico/chapter/235B.pdf" Type="http://schemas.openxmlformats.org/officeDocument/2006/relationships/hyperlink" Id="rId61"/>
    <Relationship TargetMode="External" Target="https://www.legis.iowa.gov/docs/ico/chapter/232.69.pdf" Type="http://schemas.openxmlformats.org/officeDocument/2006/relationships/hyperlink" Id="rId62"/>
    <Relationship TargetMode="External" Target="https://www.legis.iowa.gov/docs/ico/chapter/235B.16.pdf" Type="http://schemas.openxmlformats.org/officeDocument/2006/relationships/hyperlink" Id="rId63"/>
    <Relationship TargetMode="External" Target="https://www.legis.iowa.gov/docs/ico/chapter/228.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ac/rule/641.157.3.pdf" Type="http://schemas.openxmlformats.org/officeDocument/2006/relationships/hyperlink" Id="rId66"/>
    <Relationship TargetMode="External" Target="https://www.legis.iowa.gov/docs/ico/chapter/321J.pdf" Type="http://schemas.openxmlformats.org/officeDocument/2006/relationships/hyperlink" Id="rId67"/>
    <Relationship TargetMode="External" Target="https://www.legis.iowa.gov/docs/ico/chapter/104A.pdf" Type="http://schemas.openxmlformats.org/officeDocument/2006/relationships/hyperlink" Id="rId68"/>
    <Relationship TargetMode="External" Target="https://www.legis.iowa.gov/docs/iac/chapter/481.30.pdf" Type="http://schemas.openxmlformats.org/officeDocument/2006/relationships/hyperlink" Id="rId69"/>
    <Relationship TargetMode="External" Target="https://www.legis.iowa.gov/docs/ico/chapter/137F.pdf" Type="http://schemas.openxmlformats.org/officeDocument/2006/relationships/hyperlink" Id="rId70"/>
    <Relationship TargetMode="External" Target="https://www.legis.iowa.gov/docs/iac/chapter/441.115.pdf" Type="http://schemas.openxmlformats.org/officeDocument/2006/relationships/hyperlink" Id="rId71"/>
    <Relationship TargetMode="External" Target="https://www.legis.iowa.gov/docs/ico/chapter/321J.2.pdf" Type="http://schemas.openxmlformats.org/officeDocument/2006/relationships/hyperlink" Id="rId72"/>
    <Relationship TargetMode="External" Target="https://www.legis.iowa.gov/docs/ico/chapter/321J.pdf" Type="http://schemas.openxmlformats.org/officeDocument/2006/relationships/hyperlink" Id="rId73"/>
    <Relationship TargetMode="External" Target="https://www.legis.iowa.gov/docs/iac/chapter/641.157.pdf" Type="http://schemas.openxmlformats.org/officeDocument/2006/relationships/hyperlink" Id="rId74"/>
    <Relationship TargetMode="External" Target="https://www.legis.iowa.gov/docs/iac/rule/641.155.21.pdf" Type="http://schemas.openxmlformats.org/officeDocument/2006/relationships/hyperlink" Id="rId75"/>
    <Relationship TargetMode="External" Target="https://www.legis.iowa.gov/docs/iac/rule/641.155.38.pdf" Type="http://schemas.openxmlformats.org/officeDocument/2006/relationships/hyperlink" Id="rId76"/>
    <Relationship TargetMode="External" Target="https://www.legis.iowa.gov/docs/ico/chapter/125.13.pdf" Type="http://schemas.openxmlformats.org/officeDocument/2006/relationships/hyperlink" Id="rId77"/>
    <Relationship TargetMode="External" Target="https://www.legis.iowa.gov/docs/ico/chapter/125.21.pdf" Type="http://schemas.openxmlformats.org/officeDocument/2006/relationships/hyperlink" Id="rId78"/>
    <Relationship TargetMode="External" Target="https://www.legis.iowa.gov/docs/ico/chapter/135.150.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