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132</w:t>
      </w:r>
    </w:p>
    <w:p>
      <w:pPr>
        <w:spacing w:before="0" w:after="0"/>
        <w:ind w:left="120"/>
        <w:jc w:val="center"/>
      </w:pPr>
      <w:r>
        <w:rPr>
          <w:rFonts w:ascii="Times New Roman" w:hAnsi="Times New Roman"/>
          <w:b w:val="false"/>
          <w:i w:val="false"/>
          <w:color w:val="000000"/>
          <w:sz w:val="21"/>
        </w:rPr>
        <w:t>EMERGENCY MEDICAL SERVICES—SERVICE PROGRAM AUTHORIZATION</w:t>
      </w:r>
    </w:p>
    <w:p>
      <w:pPr>
        <w:spacing w:before="0" w:after="0"/>
        <w:ind w:left="120"/>
        <w:jc w:val="center"/>
      </w:pPr>
      <w:r>
        <w:rPr>
          <w:rFonts w:ascii="Times New Roman" w:hAnsi="Times New Roman"/>
          <w:b w:val="false"/>
          <w:i w:val="false"/>
          <w:color w:val="000000"/>
          <w:sz w:val="14"/>
        </w:rPr>
        <w:t xml:space="preserve">[Joint Rules pursuant to </w:t>
      </w:r>
      <w:hyperlink r:id="rId4">
        <w:r>
          <w:rPr>
            <w:rStyle w:val="Hyperlink"/>
            <w:rFonts w:ascii="Times New Roman" w:hAnsi="Times New Roman"/>
            <w:b w:val="false"/>
            <w:i w:val="false"/>
            <w:color w:val="000000"/>
            <w:sz w:val="14"/>
          </w:rPr>
          <w:t>147A.4</w:t>
        </w:r>
      </w:hyperlink>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14"/>
        </w:rPr>
        <w:t>[Prior to 7/29/87, Health Department[470]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641—132.1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level service” </w:t>
      </w:r>
      <w:r>
        <w:rPr>
          <w:rFonts w:ascii="Times New Roman" w:hAnsi="Times New Roman"/>
          <w:b w:val="false"/>
          <w:i w:val="false"/>
          <w:color w:val="000000"/>
          <w:sz w:val="22"/>
        </w:rPr>
        <w:t xml:space="preserve">means a service program that provides emergency medical care that does not exceed the scope of practice of a certified AEMT provider as outlined in </w:t>
      </w:r>
      <w:hyperlink r:id="rId6">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nurse licensed pursuant to </w:t>
      </w:r>
      <w:hyperlink r:id="rId7">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 with current licensure as a registered nurse in Iowa who is registered in Iowa to practice in an advanced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means any privately or publicly owned ground, fixed-wing or rotor-wing vehicle equipped with life-support systems and specifically designed to transport the sick or injured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owner of a transport or nontransport program or service program that is applying to the department for authorization as a service program or renewal of current authorization as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“Biomedical hazardous waste” </w:t>
      </w:r>
      <w:r>
        <w:rPr>
          <w:rFonts w:ascii="Times New Roman" w:hAnsi="Times New Roman"/>
          <w:b w:val="false"/>
          <w:i w:val="false"/>
          <w:color w:val="000000"/>
          <w:sz w:val="22"/>
        </w:rPr>
        <w:t>means waste product that may be contaminated with a biological material that is an infectious disease transmission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system” </w:t>
      </w:r>
      <w:r>
        <w:rPr>
          <w:rFonts w:ascii="Times New Roman" w:hAnsi="Times New Roman"/>
          <w:b w:val="false"/>
          <w:i w:val="false"/>
          <w:color w:val="000000"/>
          <w:sz w:val="22"/>
        </w:rPr>
        <w:t>means but is not limited to a telecommunication system, radio communication system, or mobile data 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service level authorization” </w:t>
      </w:r>
      <w:r>
        <w:rPr>
          <w:rFonts w:ascii="Times New Roman" w:hAnsi="Times New Roman"/>
          <w:b w:val="false"/>
          <w:i w:val="false"/>
          <w:color w:val="000000"/>
          <w:sz w:val="22"/>
        </w:rPr>
        <w:t>means an enhanced service program authorization under which a service program may provide an advanced level of service from that routinely provided under the service program’s full authorization level, on an intermittent basis with department and medical director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“CQI” </w:t>
      </w:r>
      <w:r>
        <w:rPr>
          <w:rFonts w:ascii="Times New Roman" w:hAnsi="Times New Roman"/>
          <w:b w:val="false"/>
          <w:i w:val="false"/>
          <w:color w:val="000000"/>
          <w:sz w:val="22"/>
        </w:rPr>
        <w:t>means a program that is an ongoing process to monitor standards at all EMS operational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“Credentialing” </w:t>
      </w:r>
      <w:r>
        <w:rPr>
          <w:rFonts w:ascii="Times New Roman" w:hAnsi="Times New Roman"/>
          <w:b w:val="false"/>
          <w:i w:val="false"/>
          <w:color w:val="000000"/>
          <w:sz w:val="22"/>
        </w:rPr>
        <w:t>means a clinical determination that is the responsibility of a physician medical director. It is the employer or affiliating organization’s responsibility to act on the clinical credentialing status of EMS personnel in making employment or deployment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transport”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“CCT” </w:t>
      </w:r>
      <w:r>
        <w:rPr>
          <w:rFonts w:ascii="Times New Roman" w:hAnsi="Times New Roman"/>
          <w:b w:val="false"/>
          <w:i w:val="false"/>
          <w:color w:val="000000"/>
          <w:sz w:val="22"/>
        </w:rPr>
        <w:t>means a paramedic level service program that has received an endorsement from the department to provide specialty care patient transportation and that is staffed by one or more paramedics with a critical care paramedic endorsement from the department or that is staffed by other health care professionals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w:t>
      </w:r>
      <w:r>
        <w:rPr>
          <w:rFonts w:ascii="Times New Roman" w:hAnsi="Times New Roman"/>
          <w:b w:val="false"/>
          <w:i w:val="false"/>
          <w:color w:val="000000"/>
          <w:sz w:val="22"/>
        </w:rPr>
        <w:t xml:space="preserve">means noncompliance with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level service” </w:t>
      </w:r>
      <w:r>
        <w:rPr>
          <w:rFonts w:ascii="Times New Roman" w:hAnsi="Times New Roman"/>
          <w:b w:val="false"/>
          <w:i w:val="false"/>
          <w:color w:val="000000"/>
          <w:sz w:val="22"/>
        </w:rPr>
        <w:t xml:space="preserve">means a nontransport service program that provides emergency medical care that does not exceed the scope of practice of a certified EMR provider as outlined in </w:t>
      </w:r>
      <w:hyperlink r:id="rId12">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level service” </w:t>
      </w:r>
      <w:r>
        <w:rPr>
          <w:rFonts w:ascii="Times New Roman" w:hAnsi="Times New Roman"/>
          <w:b w:val="false"/>
          <w:i w:val="false"/>
          <w:color w:val="000000"/>
          <w:sz w:val="22"/>
        </w:rPr>
        <w:t xml:space="preserve">means a service program that provides emergency medical care that does not exceed the scope of practice of a certified EMT provider as outlined in </w:t>
      </w:r>
      <w:hyperlink r:id="rId15">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transportation” </w:t>
      </w:r>
      <w:r>
        <w:rPr>
          <w:rFonts w:ascii="Times New Roman" w:hAnsi="Times New Roman"/>
          <w:b w:val="false"/>
          <w:i w:val="false"/>
          <w:color w:val="000000"/>
          <w:sz w:val="22"/>
        </w:rPr>
        <w:t>means transportation of a patient by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vehicle driver”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“driver” </w:t>
      </w:r>
      <w:r>
        <w:rPr>
          <w:rFonts w:ascii="Times New Roman" w:hAnsi="Times New Roman"/>
          <w:b w:val="false"/>
          <w:i w:val="false"/>
          <w:color w:val="000000"/>
          <w:sz w:val="22"/>
        </w:rPr>
        <w:t>means a currently licensed driver rostered with the service program or other emergency response personnel with emergency vehicle driving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clinical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EMS clinical guidelines”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an approval granted by the department authorizing a paramedic level service program to provide critical care transport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“FAA” </w:t>
      </w:r>
      <w:r>
        <w:rPr>
          <w:rFonts w:ascii="Times New Roman" w:hAnsi="Times New Roman"/>
          <w:b w:val="false"/>
          <w:i w:val="false"/>
          <w:color w:val="000000"/>
          <w:sz w:val="22"/>
        </w:rPr>
        <w:t>means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“Fixed-wing ambulance” </w:t>
      </w:r>
      <w:r>
        <w:rPr>
          <w:rFonts w:ascii="Times New Roman" w:hAnsi="Times New Roman"/>
          <w:b w:val="false"/>
          <w:i w:val="false"/>
          <w:color w:val="000000"/>
          <w:sz w:val="22"/>
        </w:rPr>
        <w:t>means any privately or publicly owned fixed-wing aircraft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response vehicle” </w:t>
      </w:r>
      <w:r>
        <w:rPr>
          <w:rFonts w:ascii="Times New Roman" w:hAnsi="Times New Roman"/>
          <w:b w:val="false"/>
          <w:i w:val="false"/>
          <w:color w:val="000000"/>
          <w:sz w:val="22"/>
        </w:rPr>
        <w:t>means any privately or publicly owned vehicle that is not an ambulance and that is used solely for the transportation of personnel and equipment to and from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authorization” </w:t>
      </w:r>
      <w:r>
        <w:rPr>
          <w:rFonts w:ascii="Times New Roman" w:hAnsi="Times New Roman"/>
          <w:b w:val="false"/>
          <w:i w:val="false"/>
          <w:color w:val="000000"/>
          <w:sz w:val="22"/>
        </w:rPr>
        <w:t>means a service program authorization under which a service is authorized to provide and routinely provides a specific level of emergency medical care for initial 911 or emergency calls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chapter </w:t>
      </w:r>
      <w:hyperlink r:id="rId1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supervising physician, PA, or ARNP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 physician designated by the service program and responsible for providing medical direction and overall supervision of the medical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means any privately or publicly owned service program that does not provide patient transportation and provides emergency medical care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 xml:space="preserve">means the same as defined in </w:t>
      </w:r>
      <w:hyperlink r:id="rId17">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level service” </w:t>
      </w:r>
      <w:r>
        <w:rPr>
          <w:rFonts w:ascii="Times New Roman" w:hAnsi="Times New Roman"/>
          <w:b w:val="false"/>
          <w:i w:val="false"/>
          <w:color w:val="000000"/>
          <w:sz w:val="22"/>
        </w:rPr>
        <w:t xml:space="preserve">means a service program that provides emergency medical care that does not exceed the scope of practice of a certified paramedic provider as outlined in </w:t>
      </w:r>
      <w:hyperlink r:id="rId18">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care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“PCR” </w:t>
      </w:r>
      <w:r>
        <w:rPr>
          <w:rFonts w:ascii="Times New Roman" w:hAnsi="Times New Roman"/>
          <w:b w:val="false"/>
          <w:i w:val="false"/>
          <w:color w:val="000000"/>
          <w:sz w:val="22"/>
        </w:rPr>
        <w:t>means a report that documents the assessment and management of the patient by the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response ambulance” </w:t>
      </w:r>
      <w:r>
        <w:rPr>
          <w:rFonts w:ascii="Times New Roman" w:hAnsi="Times New Roman"/>
          <w:b w:val="false"/>
          <w:i w:val="false"/>
          <w:color w:val="000000"/>
          <w:sz w:val="22"/>
        </w:rPr>
        <w:t>means any ambulance utilized by a service program and dispatched as the initial ambulance response to a 911 or emergency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2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“Rotorcraft ambulance” </w:t>
      </w:r>
      <w:r>
        <w:rPr>
          <w:rFonts w:ascii="Times New Roman" w:hAnsi="Times New Roman"/>
          <w:b w:val="false"/>
          <w:i w:val="false"/>
          <w:color w:val="000000"/>
          <w:sz w:val="22"/>
        </w:rPr>
        <w:t>means any privately or publicly owned rotorcraft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means an individual designated by the service program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ground or air medical transport service or nontransport service, inclusive of associated satellites,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 independently owned service program affiliated with one or more service programs or a separate management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agreement” </w:t>
      </w:r>
      <w:r>
        <w:rPr>
          <w:rFonts w:ascii="Times New Roman" w:hAnsi="Times New Roman"/>
          <w:b w:val="false"/>
          <w:i w:val="false"/>
          <w:color w:val="000000"/>
          <w:sz w:val="22"/>
        </w:rPr>
        <w:t>means a written agreement executed between one or more service programs or one or more management entities and filed with the department that clearly defines the responsibilities of each service program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base of operation” </w:t>
      </w:r>
      <w:r>
        <w:rPr>
          <w:rFonts w:ascii="Times New Roman" w:hAnsi="Times New Roman"/>
          <w:b w:val="false"/>
          <w:i w:val="false"/>
          <w:color w:val="000000"/>
          <w:sz w:val="22"/>
        </w:rPr>
        <w:t>means the physical location from which a service program responds and at which the service program houses emergency medical care personnel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ownership” </w:t>
      </w:r>
      <w:r>
        <w:rPr>
          <w:rFonts w:ascii="Times New Roman" w:hAnsi="Times New Roman"/>
          <w:b w:val="false"/>
          <w:i w:val="false"/>
          <w:color w:val="000000"/>
          <w:sz w:val="22"/>
        </w:rPr>
        <w:t xml:space="preserve">means the legal owner of the service program responsible for providing emergency medical care and compliance with Iowa Code chapter </w:t>
      </w:r>
      <w:hyperlink r:id="rId2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satellite”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“satellite” </w:t>
      </w:r>
      <w:r>
        <w:rPr>
          <w:rFonts w:ascii="Times New Roman" w:hAnsi="Times New Roman"/>
          <w:b w:val="false"/>
          <w:i w:val="false"/>
          <w:color w:val="000000"/>
          <w:sz w:val="22"/>
        </w:rPr>
        <w:t>means one or more additional service program locations owned by the same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any individual enrolled in a training program and participating in the didactic, clinical, or field experience portions.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response” </w:t>
      </w:r>
      <w:r>
        <w:rPr>
          <w:rFonts w:ascii="Times New Roman" w:hAnsi="Times New Roman"/>
          <w:b w:val="false"/>
          <w:i w:val="false"/>
          <w:color w:val="000000"/>
          <w:sz w:val="22"/>
        </w:rPr>
        <w:t>means a rendezvous between service programs to allow the transfer, continuation, or enhancement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agreement” </w:t>
      </w:r>
      <w:r>
        <w:rPr>
          <w:rFonts w:ascii="Times New Roman" w:hAnsi="Times New Roman"/>
          <w:b w:val="false"/>
          <w:i w:val="false"/>
          <w:color w:val="000000"/>
          <w:sz w:val="22"/>
        </w:rPr>
        <w:t>means a written agreement executed between two or more service programs and filed with the department that ensures response and transportation for initial 911 or emergency calls. A transport agreement may be a component of an affiliate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service” </w:t>
      </w:r>
      <w:r>
        <w:rPr>
          <w:rFonts w:ascii="Times New Roman" w:hAnsi="Times New Roman"/>
          <w:b w:val="false"/>
          <w:i w:val="false"/>
          <w:color w:val="000000"/>
          <w:sz w:val="22"/>
        </w:rPr>
        <w:t>means any privately or publicly owned service program that utilizes ambulances in order to provide patient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641—132.2</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program—authorization and renewal procedures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entity that desires to provide emergency medical care services in the out-of-hospital setting in this state shall apply to the department for service program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for initial authorization can be found on the department’s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The nontransport service program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authorization as a nontransport service program that has an executed written transport agreement ensuring simultaneous dispatch with an authorized transport service program for all 911 or emergency calls and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Initial service program authorization is valid for a period of one year from its effective date unless otherwise specified on the certificate of authorization or unless sooner suspended or revoked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evidence of liability insurance coverage for the service program and emergency medical care provider staff. Any change in insurance status must be reported to the department no later than 30 days from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applicant seeking endorsement must submit a department-approved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renewal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seeking renewal of current authorization shall submit all required documentation to the department at least 90 days prior to the current authorization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renewal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renewal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renewal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renewal authorization as a nontransport service program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Air medical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fixed-wing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rotorcraft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a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crew members trained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care limitations in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Altitude physiology.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utilization of air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medical communication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Aircraft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safety and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Prehospital scene response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Crew resource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 flight risk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submitted to the department fewer than 100 data reports per year for each of the previous two consecutive calendar years shall only be eligible for renewal of current authorization as an affiliate. The department will provide technical assistance in developing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be fully operational upon the effective date specified on the certificate of authorization and shall ensure compliance with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service program renewal authorization is valid for a period not to exceed three years from its effective date unless otherwise specified on the certificate of authorization or unless sooner revoked or suspended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whose full authorization or conditional service level authorization has been revoked or suspended or surrendered may apply to the department for reinstatement in accordance with the terms and conditions of the order of revocation or suspension, unless the order of revocation provides that the authorization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132.2(4)</w:t>
      </w:r>
      <w:r>
        <w:rPr>
          <w:rFonts w:ascii="Times New Roman" w:hAnsi="Times New Roman"/>
          <w:b w:val="false"/>
          <w:i w:val="false"/>
          <w:color w:val="000000"/>
          <w:sz w:val="22"/>
        </w:rPr>
        <w:t> </w:t>
      </w:r>
      <w:r>
        <w:rPr>
          <w:rFonts w:ascii="Times New Roman" w:hAnsi="Times New Roman"/>
          <w:b w:val="false"/>
          <w:i/>
          <w:color w:val="000000"/>
          <w:sz w:val="22"/>
        </w:rPr>
        <w:t xml:space="preserve">Out-of-state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service program authorized and based in another state shall provide the department with verification of current state authorization upon request and may provide emergency medical care to patients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authorized and based in another state shall meet all requirements of Iowa Code chapter </w:t>
      </w:r>
      <w:hyperlink r:id="rId2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and must be authorized by the department to respond to 911 requests in Iowa to transport patients in Iowa to locations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132.2(5)</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at a minimum, will complete an inspection of each base of operations, all associated satellites, and all affiliate locations prior to initial authorization or renewal of current full authorization or conditional service level to ensure compliance with Iowa Code chapter </w:t>
      </w:r>
      <w:hyperlink r:id="rId2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additional inspections at times, at places and under such circumstances as it deems necessary to ensure compliance with Iowa Code chapter </w:t>
      </w:r>
      <w:hyperlink r:id="rId2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program inspection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correct deficiencies identified during a service program inspection within the time period specified by the department on the inspection form. Failure to correct identified deficiencies within the specified time period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from or may inspect the records of any service program or associated satellite or associated affiliate that is currently authorized or that is seeking authorization to ensure continued compliance or to verify the validity of any information presented on the application for initial service program authorization or renewal of current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the patient care records of a service program to verify compliance with Iowa Code chapter </w:t>
      </w:r>
      <w:hyperlink r:id="rId2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interfere with the inspection activities of the department or its agents pursuant to Iowa Code section </w:t>
      </w:r>
      <w:hyperlink r:id="rId28">
        <w:r>
          <w:rPr>
            <w:rStyle w:val="Hyperlink"/>
            <w:rFonts w:ascii="Times New Roman" w:hAnsi="Times New Roman"/>
            <w:b w:val="false"/>
            <w:i w:val="false"/>
            <w:color w:val="000000"/>
            <w:sz w:val="22"/>
          </w:rPr>
          <w:t>135.36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by the department or its agents may be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641—132.3</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will have a unique authorization 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with satellites will have a single authorization number assigned by the department for all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owner shall ensure compliance with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any change in ownership to the department at least seven days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changing ownership shall apply to the department at least seven days prior to the change in ownership for initial authorization in accordance with </w:t>
      </w:r>
      <w:hyperlink r:id="rId30">
        <w:r>
          <w:rPr>
            <w:rStyle w:val="Hyperlink"/>
            <w:rFonts w:ascii="Times New Roman" w:hAnsi="Times New Roman"/>
            <w:b w:val="false"/>
            <w:i w:val="false"/>
            <w:color w:val="000000"/>
            <w:sz w:val="22"/>
          </w:rPr>
          <w:t>132.2(1)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medical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for medical direction 24 hours per day, seven days per week or ensure accessibility to alternate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medical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medical director training within one year of assuming duties as a medical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approve, and update service program protocols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emergency medical care providers rostered with the service program are credentialed in the emergency medical skills to be provided and the duties of the emergency medical care provider do not exceed the provider’s scope of practice as referenced in </w:t>
      </w:r>
      <w:hyperlink r:id="rId31">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and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available for individual evaluation and consultation with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authority to restrict a service program’s authorized functional EMS service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the authority to permanently or temporarily restrict a service program member to function within a lower level scope of practice or prohibit a service program member from providing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Approve the service program’s CQI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Perform or complete, or appoint a designee to perform or complete, the medical audits in the service program’s established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Randomly audit (on at least a quarterly basis) documentation of calls where emergency medical care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Randomly review audits performed by the qualified appointee.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medical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additions to the department-approved EMS clinical guidelines when developing service protocols, provided the additions are within the service program’s level of authorization, the EMS provider’s scope of practice, and acceptable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service program providers provide additional emergency medical care skills on a limited pilot project basis. The pilot project applications are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 the physician, PA and RN exception form identifying the level of EMS provider equivalency not to exceed the service program’s EMS service level authorization for each physician, PA and RN who will be providing emergency medical care as part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director who receives no compensation for the performance of the director’s volunteer duties under this chapter is considered a state volunteer as provided in Iowa Code section </w:t>
      </w:r>
      <w:hyperlink r:id="rId32">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xml:space="preserve"> while performing volunteer duties as an emergency medical services medical director. Compensation does not include payments for reimbursement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medical director, supervising physician, PA, or ARNP who gives orders to an emergency medical care provider is not subject to criminal liability by reason of having issued the orders and is not liable for civil damages for acts or omissions relating to the issuance of the orders unless the acts or omissions constitute recklessness.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requires or obligates a medical director, supervising physician, PA, or ARNP to approve requests for orders received from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medical director who fails to comply with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may be referred to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service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24 hours per day, seven days per week or ensure accessibility to a service director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responsible for providing direction and overall supervision of the administrative and operational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service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training within one year of assuming duties as a service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service program is in compliance with service program policy,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duties of the service program’s emergency medical care providers do not exceed the providers’ scope of practice as referenced in </w:t>
      </w:r>
      <w:hyperlink r:id="rId35">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or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advertise or otherwise imply or hold itself out to the public as a service program unless currently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advertise at or otherwise hold itself out as having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medical director if the current medical director cannot or no longer wishes to serve in that capacity. Selection shall be made before the current medical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medical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service director if the current service director cannot or no longer wishes to serve in that capacity. Selection shall be made before the current service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service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prior to any change in location of a service program base of operations, administrative office, satellite, or affiliate.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when entering into agreements with one or more service programs or a management entity to form multiservice systems for shared service program management, administration, data submission, or other services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Report the termination or resignation in lieu of termination of an emergency medical care provider due to negligence, professional incompetency, unethical conduct, substance use, or violation of any of these rules to the department in writing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Report theft of drugs to the department in writing within 48 hours following the occurrence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Develop a notification process for service members in the event of a motor vehicle collision involving a first response vehicle, ambulance, rescue vehicle or personal vehicle when used by a service program member responding as a member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48 hours of a motor vehicle collision resulting in personal injury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Ensure a response to an initial 911 or emergency call request to the service program,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Utilize protocols developed and approved by the service program medical director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Ensure alterations to the minimum EMS clinical guidelines by the service program’s medical director are approved by and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Maintain a communication system at a minimum between medical direction, receiving facility, and other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Maintain a current personnel roster utilizing a department-approved registry system. Ensure all rostered personnel are currently certified as active EMS providers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Maintain files with the medical director and department-approved physician, PA and RN exception forms for appropriate personnel. Physician, PA and RN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Ensure all service program members who operate motorized emergency response vehicles, ambulances, and rescue vehicles when used by a service member responding as a member of the service have a valid driver’s license and attend driver training prior to driving an emergency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maintain and follow a written driver training policy that includes a review of Iowa laws regarding emergency vehicle operations (Iowa Code section </w:t>
      </w:r>
      <w:hyperlink r:id="rId36">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frequency of service required driver training, a review of service program policies and criteria for response with lights or sirens or both, speed limits, procedure for approaching intersections, and use of the service program communications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Ensure the emergency medical care provider with the highest level of certification attends the patient unless otherwise indicated by patient assessment and approved by the service program’s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ground transport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initial 911 or emergency calls, the following staff on each primary response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each subsequent call or nonemergency call, when responding, the following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transport decision policy that requires a complete assessment of a patient in order to determine transport needs. The service transport decision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Out-of-Hospital Trauma and Triage Destination Decision Guideline, as amended to August 1, 2024, and described in </w:t>
      </w:r>
      <w:hyperlink r:id="rId37">
        <w:r>
          <w:rPr>
            <w:rStyle w:val="Hyperlink"/>
            <w:rFonts w:ascii="Times New Roman" w:hAnsi="Times New Roman"/>
            <w:b w:val="false"/>
            <w:i w:val="false"/>
            <w:color w:val="000000"/>
            <w:sz w:val="22"/>
          </w:rPr>
          <w:t>641—Chapter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critical condition considerations for transport to facilities that specialize in conditions such as cardiac conditions or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process for a service program provider to determine transportation to a hospital, medical clinic, extended care facility, or other facilities where health care is routinely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process for patient refusal or nontransport if emergency transport is not warranted. The service program provider will obtain a signed transport/treatment refusal document or liability release if transport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process by which a service program provider may make arrangements for alternate transport if emergency transport is not needed and remain with the patient until alternate transport arrives unless the provider is called to respond to another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Air 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fixed wing ambulances shall, at a minimum on each flight request, staff fixed wing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rotorcraft ambulances shall, at a minimum on each flight request, staff rotorcraft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Nontransporting service programs, when responding to 911 or emergency calls, shall provide as a minimum 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may transport patients in an ambulance only in an emergency situation when lack of transporting resources would cause an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data electronically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data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reportable data to the department no later than the last day of the month following the month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the EMS data registry and furnished to the department pursuant to this rule are confidential records of the condition, diagnosis, care, or treatment of patients or former patients, including outpatients, pursuant to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section </w:t>
      </w:r>
      <w:hyperlink r:id="rId3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that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requests for reportable patient data for special studies and analysis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has been reviewed and approved by the department with respect to the scientific merit and confidentiality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given administrative approval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patients is protected pursuant to Iowa Code section </w:t>
      </w:r>
      <w:hyperlink r:id="rId4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4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those requesting the data to pay any or all of the reasonable costs associated with furnishing the reportable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data, the department or authorized representative may examine all or part of the data record as necessary to verify or clarify all reportable data submitted by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under this subrule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data submission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Patient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satellite, and affiliate shall complete and maintain a patient care report documenting the care provided to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care report is a confidential document and is exempt from disclosure pursuant to Iowa Code section </w:t>
      </w:r>
      <w:hyperlink r:id="rId42">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shall not be accessible to the general public. Information contained in these reports, however, may be utilized by any of the indicated distribution recipients and may appear in any document or public health record in a manner that prevents the identification of any patient or person named in these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continuum of care, transport service programs shall provide at a minimum, upon delivery of a patient to a receiving facility, a verbal patient care report that contains details of the assessment and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 programs shall provide a final patient care report within 24 hours to the receiving facility. Transport services and receiving facilities must work together to initiate reasonable and realistic mechanisms (including but not limited to paper, secure email, secure links, secure electronic system retrieval, and access to printers at the receiving facility) to ensure the delivery of the patient care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patient care report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132.3(7)</w:t>
      </w: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(CQI).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CQI program that follows a written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CQI program shall include medical audits that review patient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CQI program shall be utilized to identify deficiencies or potential deficiencies regarding medical knowledge or skill or procedure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CQI program shall review at a minimum 911 response and scene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CQI program shall develop a written plan that monitors, identifies and documents at a minimum continuing education, credentialing of skills and procedures, and personnel performance for the service program’s emergency medical care providers, drivers, physicians, PA and RN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establish measurable outcomes that reflect the goals and standards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ensure completion of loop closure/resolution of identified areas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132.3(8)</w:t>
      </w:r>
      <w:r>
        <w:rPr>
          <w:rFonts w:ascii="Times New Roman" w:hAnsi="Times New Roman"/>
          <w:b w:val="false"/>
          <w:i w:val="false"/>
          <w:color w:val="000000"/>
          <w:sz w:val="22"/>
        </w:rPr>
        <w:t> </w:t>
      </w:r>
      <w:r>
        <w:rPr>
          <w:rFonts w:ascii="Times New Roman" w:hAnsi="Times New Roman"/>
          <w:b w:val="false"/>
          <w:i/>
          <w:color w:val="000000"/>
          <w:sz w:val="22"/>
        </w:rPr>
        <w:t xml:space="preserve">Medications in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have written pharmacy agreements in accordance with the Iowa board of pharmacy’s </w:t>
      </w:r>
      <w:hyperlink r:id="rId43">
        <w:r>
          <w:rPr>
            <w:rStyle w:val="Hyperlink"/>
            <w:rFonts w:ascii="Times New Roman" w:hAnsi="Times New Roman"/>
            <w:b w:val="false"/>
            <w:i w:val="false"/>
            <w:color w:val="000000"/>
            <w:sz w:val="22"/>
          </w:rPr>
          <w:t>657—Chapter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maintain all medications in accordance with the rules of the Iowa board of pharmacy’s 657—Chapters </w:t>
      </w:r>
      <w:hyperlink r:id="rId44">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written pharmacy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132.3(9)</w:t>
      </w:r>
      <w:r>
        <w:rPr>
          <w:rFonts w:ascii="Times New Roman" w:hAnsi="Times New Roman"/>
          <w:b w:val="false"/>
          <w:i w:val="false"/>
          <w:color w:val="000000"/>
          <w:sz w:val="22"/>
        </w:rPr>
        <w:t> </w:t>
      </w:r>
      <w:r>
        <w:rPr>
          <w:rFonts w:ascii="Times New Roman" w:hAnsi="Times New Roman"/>
          <w:b w:val="false"/>
          <w:i/>
          <w:color w:val="000000"/>
          <w:sz w:val="22"/>
        </w:rPr>
        <w:t xml:space="preserve">Vehicle standards, supplies, equipment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service programs, regardless of their designation as governmentally owned, not-for-profit, or privately operated, shall, at a minimum, annually systematically inspect, repair, and maintain, or cause to be systematically inspected, repaired, and maintained, all ambulances operated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utilize a vehicle inspection report approved by the department to record the results of an ambulance safety inspection. Safety inspection forms that comply with the requirements of 49 CFR 396 as amended to August 1, 2024, shall be approved by the department. A sample vehicle inspection form that complies with the reporting requirements of 49 CFR 396 as amended to August 1, 2024, can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individuals performing safety inspections are qualified and capable of performing an inspection by reason of experience, training,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not use an ambulance that fails to meet or maintain the requirements of this subrule to transport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house primary response ambulances in a garage or other enclosed facility that is maintained in a clean, safe condition, free of debris or other hazards; is temperature controlled; and has an unobstructed exit to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secure all equipment stored in the ambulance patient compartment so the patient and service program personnel are not injured by moving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ground transport and nontransport service programs, new ambulances manufactured and placed into service shall meet at a minimum either the Commission on Accreditation of Ambulance Services (CAAS) Ground Vehicle Standard for Ambulances, as amended to August 1, 2024, or the National Fire Protection Association (NFPA) Standard for Automotive Ambulances (NFPA 1917)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maintain first response and rescue vehicles in safe operating condition and provide regular maintenance. Vehicles shall have the exterior clean and the interior clean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and patient care supplies are monitored for expiration dates, cleaned, laundered or disinfected. All medical supplies shall be stored in clean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personal protection equipment and supplies are available to ensure emergency medical care responder safety during every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supplies to properly dispose of biomedical hazardous waste are available in all response vehicles, and all waste shall be disposed of according to accepted biomedical waste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equipment is maintained per manufacturer requirements for safe emergency medical care provider and patient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service programs will develop, maintain, and follow vehicle standards, supplies, and equipment maintenance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641—132.4</w:t>
      </w:r>
      <w:r>
        <w:rPr>
          <w:rFonts w:ascii="Times New Roman" w:hAnsi="Times New Roman"/>
          <w:b/>
          <w:i w:val="false"/>
          <w:color w:val="000000"/>
          <w:sz w:val="22"/>
        </w:rPr>
        <w:t xml:space="preserve">(147A)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If during a period of authorization, a service program is unable to maintain compliance with Iowa Code chapter </w:t>
      </w:r>
      <w:hyperlink r:id="rId4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the department may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waivers of these rules to a currently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132.4(2)</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apply only to the service program requesting the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132.4(3)</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apply for a waiver in accordance with </w:t>
      </w:r>
      <w:hyperlink r:id="rId47">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641—132.5</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emergency medical care service programs,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4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 emergency medical care provider  who has knowledge of an emergency medical care provider, service program or training program that has violated Iowa Code chapter </w:t>
      </w:r>
      <w:hyperlink r:id="rId5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 following knowledge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authorization may be denied, issued a civil penalty not to exceed $1,000, issued a citation and warning, placed on probation, suspended, revoked, or otherwise disciplined by the department in accordance with Iowa Code section </w:t>
      </w:r>
      <w:hyperlink r:id="rId51">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5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 service program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itself out as practicing emergency medical services at a certain level of authorization when the service program is not authorized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applicant of the granting or denial of authorization or renewal, or will notify the alleged violator of action to issue a citation and warning, place on probation or suspend or revoke authorization or renewal pursuant to Iowa Code sections </w:t>
      </w:r>
      <w:hyperlink r:id="rId5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Notice of the right to appeal the denial, citation and warning, probation, suspension or revocation of service program authorization or renewal will be given in accordance with </w:t>
      </w:r>
      <w:hyperlink r:id="rId5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5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House File 2507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emergency 3/27/81—published 4/15/81, effective 3/27/81]</w:t>
      </w:r>
    </w:p>
    <w:p>
      <w:pPr>
        <w:spacing w:before="0" w:after="0"/>
        <w:ind w:left="120"/>
        <w:jc w:val="center"/>
      </w:pPr>
      <w:r>
        <w:rPr>
          <w:rFonts w:ascii="Times New Roman" w:hAnsi="Times New Roman"/>
          <w:b w:val="false"/>
          <w:i w:val="false"/>
          <w:color w:val="000000"/>
          <w:sz w:val="21"/>
        </w:rPr>
        <w:t>[Filed without Notice 5/21/81—published 6/10/81, effective 7/15/81]</w:t>
      </w:r>
    </w:p>
    <w:p>
      <w:pPr>
        <w:spacing w:before="0" w:after="0"/>
        <w:ind w:left="120"/>
        <w:jc w:val="center"/>
      </w:pPr>
      <w:r>
        <w:rPr>
          <w:rFonts w:ascii="Times New Roman" w:hAnsi="Times New Roman"/>
          <w:b w:val="false"/>
          <w:i w:val="false"/>
          <w:color w:val="000000"/>
          <w:sz w:val="21"/>
        </w:rPr>
        <w:t>[Filed emergency 7/15/81—published 8/5/81, effective 7/15/81]</w:t>
      </w:r>
    </w:p>
    <w:p>
      <w:pPr>
        <w:spacing w:before="0" w:after="0"/>
        <w:ind w:left="120"/>
        <w:jc w:val="center"/>
      </w:pPr>
      <w:r>
        <w:rPr>
          <w:rFonts w:ascii="Times New Roman" w:hAnsi="Times New Roman"/>
          <w:b w:val="false"/>
          <w:i w:val="false"/>
          <w:color w:val="000000"/>
          <w:sz w:val="21"/>
        </w:rPr>
        <w:t>[Filed emergency 2/4/82—published 3/3/82, effective 3/1/82]</w:t>
      </w:r>
    </w:p>
    <w:p>
      <w:pPr>
        <w:spacing w:before="0" w:after="0"/>
        <w:ind w:left="120"/>
        <w:jc w:val="center"/>
      </w:pPr>
      <w:r>
        <w:rPr>
          <w:rFonts w:ascii="Times New Roman" w:hAnsi="Times New Roman"/>
          <w:b w:val="false"/>
          <w:i w:val="false"/>
          <w:color w:val="000000"/>
          <w:sz w:val="21"/>
        </w:rPr>
        <w:t>[Filed 10/27/82, Notice 9/1/82—published 11/24/82, effective 12/29/82]</w:t>
      </w:r>
    </w:p>
    <w:p>
      <w:pPr>
        <w:spacing w:before="0" w:after="0"/>
        <w:ind w:left="120"/>
        <w:jc w:val="center"/>
      </w:pPr>
      <w:r>
        <w:rPr>
          <w:rFonts w:ascii="Times New Roman" w:hAnsi="Times New Roman"/>
          <w:b w:val="false"/>
          <w:i w:val="false"/>
          <w:color w:val="000000"/>
          <w:sz w:val="21"/>
        </w:rPr>
        <w:t>[Filed emergency 12/16/82—published 1/5/83, effective 12/30/82]</w:t>
      </w:r>
    </w:p>
    <w:p>
      <w:pPr>
        <w:spacing w:before="0" w:after="0"/>
        <w:ind w:left="120"/>
        <w:jc w:val="center"/>
      </w:pPr>
      <w:r>
        <w:rPr>
          <w:rFonts w:ascii="Times New Roman" w:hAnsi="Times New Roman"/>
          <w:b w:val="false"/>
          <w:i w:val="false"/>
          <w:color w:val="000000"/>
          <w:sz w:val="21"/>
        </w:rPr>
        <w:t>[Filed emergency 9/20/83—published 10/12/83, effective 9/21/83]</w:t>
      </w:r>
    </w:p>
    <w:p>
      <w:pPr>
        <w:spacing w:before="0" w:after="0"/>
        <w:ind w:left="120"/>
        <w:jc w:val="center"/>
      </w:pPr>
      <w:r>
        <w:rPr>
          <w:rFonts w:ascii="Times New Roman" w:hAnsi="Times New Roman"/>
          <w:b w:val="false"/>
          <w:i w:val="false"/>
          <w:color w:val="000000"/>
          <w:sz w:val="21"/>
        </w:rPr>
        <w:t>[Filed 9/15/83, Notice 7/6/83—published 10/12/83, effective 11/16/83]</w:t>
      </w:r>
    </w:p>
    <w:p>
      <w:pPr>
        <w:spacing w:before="0" w:after="0"/>
        <w:ind w:left="120"/>
        <w:jc w:val="center"/>
      </w:pPr>
      <w:r>
        <w:rPr>
          <w:rFonts w:ascii="Times New Roman" w:hAnsi="Times New Roman"/>
          <w:b w:val="false"/>
          <w:i w:val="false"/>
          <w:color w:val="000000"/>
          <w:sz w:val="21"/>
        </w:rPr>
        <w:t>[Filed emergency 12/26/84—published 1/16/85, effective 12/31/84]</w:t>
      </w:r>
    </w:p>
    <w:p>
      <w:pPr>
        <w:spacing w:before="0" w:after="0"/>
        <w:ind w:left="120"/>
        <w:jc w:val="center"/>
      </w:pPr>
      <w:r>
        <w:rPr>
          <w:rFonts w:ascii="Times New Roman" w:hAnsi="Times New Roman"/>
          <w:b w:val="false"/>
          <w:i w:val="false"/>
          <w:color w:val="000000"/>
          <w:sz w:val="21"/>
        </w:rPr>
        <w:t>[Filed emergency after Notice 5/8/85, Notice 3/27/85—published 6/5/85, effective 5/17/85]</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emergency 12/24/85—published 1/15/86, effective 12/31/85]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8/28/86, Notice 4/9/86—published 9/24/86, effective 10/29/86]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7/10/87, Notice 2/11/87—published 7/29/87, effective 9/2/87]</w:t>
      </w:r>
    </w:p>
    <w:p>
      <w:pPr>
        <w:spacing w:before="0" w:after="0"/>
        <w:ind w:left="120"/>
        <w:jc w:val="center"/>
      </w:pPr>
      <w:r>
        <w:rPr>
          <w:rFonts w:ascii="Times New Roman" w:hAnsi="Times New Roman"/>
          <w:b w:val="false"/>
          <w:i w:val="false"/>
          <w:color w:val="000000"/>
          <w:sz w:val="21"/>
        </w:rPr>
        <w:t>[Filed emergency 1/30/89—published 2/22/89, effective 1/31/89]</w:t>
      </w:r>
    </w:p>
    <w:p>
      <w:pPr>
        <w:spacing w:before="0" w:after="0"/>
        <w:ind w:left="120"/>
        <w:jc w:val="center"/>
      </w:pPr>
      <w:r>
        <w:rPr>
          <w:rFonts w:ascii="Times New Roman" w:hAnsi="Times New Roman"/>
          <w:b w:val="false"/>
          <w:i w:val="false"/>
          <w:color w:val="000000"/>
          <w:sz w:val="21"/>
        </w:rPr>
        <w:t>[Filed emergency 5/10/89—published 5/31/89, effective 5/12/89]</w:t>
      </w:r>
    </w:p>
    <w:p>
      <w:pPr>
        <w:spacing w:before="0" w:after="0"/>
        <w:ind w:left="120"/>
        <w:jc w:val="center"/>
      </w:pPr>
      <w:r>
        <w:rPr>
          <w:rFonts w:ascii="Times New Roman" w:hAnsi="Times New Roman"/>
          <w:b w:val="false"/>
          <w:i w:val="false"/>
          <w:color w:val="000000"/>
          <w:sz w:val="21"/>
        </w:rPr>
        <w:t>[Filed 9/14/89, Notice 6/28/89—published 10/4/89, effective 11/8/89]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3/13/92, Notice 12/11/91—published 4/1/92, effective 5/6/92]</w:t>
      </w:r>
    </w:p>
    <w:p>
      <w:pPr>
        <w:spacing w:before="0" w:after="0"/>
        <w:ind w:left="120"/>
        <w:jc w:val="center"/>
      </w:pPr>
      <w:r>
        <w:rPr>
          <w:rFonts w:ascii="Times New Roman" w:hAnsi="Times New Roman"/>
          <w:b w:val="false"/>
          <w:i w:val="false"/>
          <w:color w:val="000000"/>
          <w:sz w:val="21"/>
        </w:rPr>
        <w:t>[Filed 1/15/93, Notice 9/30/92—published 2/3/93, effective 3/10/93]</w:t>
      </w:r>
    </w:p>
    <w:p>
      <w:pPr>
        <w:spacing w:before="0" w:after="0"/>
        <w:ind w:left="120"/>
        <w:jc w:val="center"/>
      </w:pPr>
      <w:r>
        <w:rPr>
          <w:rFonts w:ascii="Times New Roman" w:hAnsi="Times New Roman"/>
          <w:b w:val="false"/>
          <w:i w:val="false"/>
          <w:color w:val="000000"/>
          <w:sz w:val="21"/>
        </w:rPr>
        <w:t>[Filed 1/14/94, Notice 10/13/93—published 2/2/94, effective 3/9/94]</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7/10/96, Notice 6/5/96—published 7/31/96, effective 9/4/96]</w:t>
      </w:r>
    </w:p>
    <w:p>
      <w:pPr>
        <w:spacing w:before="0" w:after="0"/>
        <w:ind w:left="120"/>
        <w:jc w:val="center"/>
      </w:pPr>
      <w:r>
        <w:rPr>
          <w:rFonts w:ascii="Times New Roman" w:hAnsi="Times New Roman"/>
          <w:b w:val="false"/>
          <w:i w:val="false"/>
          <w:color w:val="000000"/>
          <w:sz w:val="21"/>
        </w:rPr>
        <w:t>[Filed 9/16/96, Notice 7/31/96—published 10/9/96, effective 11/13/96]</w:t>
      </w:r>
    </w:p>
    <w:p>
      <w:pPr>
        <w:spacing w:before="0" w:after="0"/>
        <w:ind w:left="120"/>
        <w:jc w:val="center"/>
      </w:pPr>
      <w:r>
        <w:rPr>
          <w:rFonts w:ascii="Times New Roman" w:hAnsi="Times New Roman"/>
          <w:b w:val="false"/>
          <w:i w:val="false"/>
          <w:color w:val="000000"/>
          <w:sz w:val="21"/>
        </w:rPr>
        <w:t>[Filed emergency 1/23/98—published 2/11/98, effective 1/23/98]</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5/15/98, Notice 3/11/98—published 6/3/98, effective 7/8/98]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8661B</w:t>
      </w:r>
      <w:r>
        <w:rPr>
          <w:rFonts w:ascii="Times New Roman" w:hAnsi="Times New Roman"/>
          <w:b w:val="false"/>
          <w:i w:val="false"/>
          <w:color w:val="000000"/>
          <w:sz w:val="21"/>
        </w:rPr>
        <w:t xml:space="preserve"> (Notice ARC 8498B,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9357B</w:t>
      </w:r>
      <w:r>
        <w:rPr>
          <w:rFonts w:ascii="Times New Roman" w:hAnsi="Times New Roman"/>
          <w:b w:val="false"/>
          <w:i w:val="false"/>
          <w:color w:val="000000"/>
          <w:sz w:val="21"/>
        </w:rPr>
        <w:t xml:space="preserve"> (Notice ARC 9240B,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0063C</w:t>
      </w:r>
      <w:r>
        <w:rPr>
          <w:rFonts w:ascii="Times New Roman" w:hAnsi="Times New Roman"/>
          <w:b w:val="false"/>
          <w:i w:val="false"/>
          <w:color w:val="000000"/>
          <w:sz w:val="21"/>
        </w:rPr>
        <w:t xml:space="preserve"> (Notice ARC 0001C,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2278C</w:t>
      </w:r>
      <w:r>
        <w:rPr>
          <w:rFonts w:ascii="Times New Roman" w:hAnsi="Times New Roman"/>
          <w:b w:val="false"/>
          <w:i w:val="false"/>
          <w:color w:val="000000"/>
          <w:sz w:val="21"/>
        </w:rPr>
        <w:t xml:space="preserve"> (Notice ARC 2149C,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2391C</w:t>
      </w:r>
      <w:r>
        <w:rPr>
          <w:rFonts w:ascii="Times New Roman" w:hAnsi="Times New Roman"/>
          <w:b w:val="false"/>
          <w:i w:val="false"/>
          <w:color w:val="000000"/>
          <w:sz w:val="21"/>
        </w:rPr>
        <w:t xml:space="preserve"> (Notice ARC 2304C,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5144C</w:t>
      </w:r>
      <w:r>
        <w:rPr>
          <w:rFonts w:ascii="Times New Roman" w:hAnsi="Times New Roman"/>
          <w:b w:val="false"/>
          <w:i w:val="false"/>
          <w:color w:val="000000"/>
          <w:sz w:val="21"/>
        </w:rPr>
        <w:t xml:space="preserve"> (Notice ARC 4858C,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9124C</w:t>
      </w:r>
      <w:r>
        <w:rPr>
          <w:rFonts w:ascii="Times New Roman" w:hAnsi="Times New Roman"/>
          <w:b w:val="false"/>
          <w:i w:val="false"/>
          <w:color w:val="000000"/>
          <w:sz w:val="21"/>
        </w:rPr>
        <w:t xml:space="preserve"> (Notice ARC 8721C, IAB 1/8/25)</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Rescission of paragraph 132.14(2)</w:t>
      </w:r>
      <w:r>
        <w:rPr>
          <w:rFonts w:ascii="Times New Roman" w:hAnsi="Times New Roman"/>
          <w:b w:val="false"/>
          <w:i/>
          <w:color w:val="000000"/>
          <w:sz w:val="22"/>
        </w:rPr>
        <w:t>“f”</w:t>
      </w:r>
      <w:r>
        <w:rPr>
          <w:rFonts w:ascii="Times New Roman" w:hAnsi="Times New Roman"/>
          <w:b w:val="false"/>
          <w:i w:val="false"/>
          <w:color w:val="000000"/>
          <w:sz w:val="22"/>
        </w:rPr>
        <w:t xml:space="preserve"> inadvertently omitted from 2/2/05 Supplement.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55.7.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ac/chapter/641.131.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ac/rule/641.131.5.pdf" Type="http://schemas.openxmlformats.org/officeDocument/2006/relationships/hyperlink" Id="rId12"/>
    <Relationship TargetMode="External" Target="https://www.legis.iowa.gov/docs/ico/chapter/147A.1.pdf" Type="http://schemas.openxmlformats.org/officeDocument/2006/relationships/hyperlink" Id="rId13"/>
    <Relationship TargetMode="External" Target="https://www.legis.iowa.gov/docs/iac/chapter/641.131.pdf" Type="http://schemas.openxmlformats.org/officeDocument/2006/relationships/hyperlink" Id="rId14"/>
    <Relationship TargetMode="External" Target="https://www.legis.iowa.gov/docs/iac/rule/641.131.5.pdf" Type="http://schemas.openxmlformats.org/officeDocument/2006/relationships/hyperlink" Id="rId15"/>
    <Relationship TargetMode="External" Target="https://www.legis.iowa.gov/docs/ico/chapter/135B.pdf" Type="http://schemas.openxmlformats.org/officeDocument/2006/relationships/hyperlink" Id="rId16"/>
    <Relationship TargetMode="External" Target="https://www.legis.iowa.gov/docs/iac/chapter/641.131.pdf" Type="http://schemas.openxmlformats.org/officeDocument/2006/relationships/hyperlink" Id="rId17"/>
    <Relationship TargetMode="External" Target="https://www.legis.iowa.gov/docs/iac/rule/641.131.4.pdf" Type="http://schemas.openxmlformats.org/officeDocument/2006/relationships/hyperlink" Id="rId18"/>
    <Relationship TargetMode="External" Target="https://www.legis.iowa.gov/docs/ico/chapter/148.pdf" Type="http://schemas.openxmlformats.org/officeDocument/2006/relationships/hyperlink" Id="rId19"/>
    <Relationship TargetMode="External" Target="https://www.legis.iowa.gov/docs/ico/chapter/148C.pdf" Type="http://schemas.openxmlformats.org/officeDocument/2006/relationships/hyperlink" Id="rId20"/>
    <Relationship TargetMode="External" Target="https://www.legis.iowa.gov/docs/ico/chapter/152.pdf" Type="http://schemas.openxmlformats.org/officeDocument/2006/relationships/hyperlink" Id="rId21"/>
    <Relationship TargetMode="External" Target="https://www.legis.iowa.gov/docs/ico/chapter/147A.pdf"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47A.pdf" Type="http://schemas.openxmlformats.org/officeDocument/2006/relationships/hyperlink" Id="rId24"/>
    <Relationship TargetMode="External" Target="https://www.legis.iowa.gov/docs/ico/chapter/147A.pdf" Type="http://schemas.openxmlformats.org/officeDocument/2006/relationships/hyperlink" Id="rId25"/>
    <Relationship TargetMode="External" Target="https://www.legis.iowa.gov/docs/ico/chapter/147A.pdf" Type="http://schemas.openxmlformats.org/officeDocument/2006/relationships/hyperlink" Id="rId26"/>
    <Relationship TargetMode="External" Target="https://www.legis.iowa.gov/docs/ico/chapter/147A.pdf" Type="http://schemas.openxmlformats.org/officeDocument/2006/relationships/hyperlink" Id="rId27"/>
    <Relationship TargetMode="External" Target="https://www.legis.iowa.gov/docs/ico/chapter/135.36.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s://www.legis.iowa.gov/docs/iac/rule/641.132.2.pdf" Type="http://schemas.openxmlformats.org/officeDocument/2006/relationships/hyperlink" Id="rId30"/>
    <Relationship TargetMode="External" Target="https://www.legis.iowa.gov/docs/iac/rule/641.131.4.pdf" Type="http://schemas.openxmlformats.org/officeDocument/2006/relationships/hyperlink" Id="rId31"/>
    <Relationship TargetMode="External" Target="https://www.legis.iowa.gov/docs/ico/chapter/669.24.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ac/rule/641.131.4.pdf" Type="http://schemas.openxmlformats.org/officeDocument/2006/relationships/hyperlink" Id="rId35"/>
    <Relationship TargetMode="External" Target="https://www.legis.iowa.gov/docs/ico/chapter/321.231.pdf" Type="http://schemas.openxmlformats.org/officeDocument/2006/relationships/hyperlink" Id="rId36"/>
    <Relationship TargetMode="External" Target="https://www.legis.iowa.gov/docs/iac/chapter/641.135.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147A.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ac/chapter/657.11.pdf" Type="http://schemas.openxmlformats.org/officeDocument/2006/relationships/hyperlink" Id="rId43"/>
    <Relationship TargetMode="External" Target="https://www.legis.iowa.gov/docs/iac/chapter/657.10.pdf" Type="http://schemas.openxmlformats.org/officeDocument/2006/relationships/hyperlink" Id="rId44"/>
    <Relationship TargetMode="External" Target="https://www.legis.iowa.gov/docs/iac/chapter/657.11.pdf" Type="http://schemas.openxmlformats.org/officeDocument/2006/relationships/hyperlink" Id="rId45"/>
    <Relationship TargetMode="External" Target="https://www.legis.iowa.gov/docs/ico/chapter/147A.pdf" Type="http://schemas.openxmlformats.org/officeDocument/2006/relationships/hyperlink" Id="rId46"/>
    <Relationship TargetMode="External" Target="https://www.legis.iowa.gov/docs/iac/chapter/441.6.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272C.pdf" Type="http://schemas.openxmlformats.org/officeDocument/2006/relationships/hyperlink" Id="rId49"/>
    <Relationship TargetMode="External" Target="https://www.legis.iowa.gov/docs/ico/chapter/147A.pdf" Type="http://schemas.openxmlformats.org/officeDocument/2006/relationships/hyperlink" Id="rId50"/>
    <Relationship TargetMode="External" Target="https://www.legis.iowa.gov/docs/ico/chapter/147A.5.pdf" Type="http://schemas.openxmlformats.org/officeDocument/2006/relationships/hyperlink" Id="rId51"/>
    <Relationship TargetMode="External" Target="https://www.legis.iowa.gov/docs/ico/chapter/147A.pdf" Type="http://schemas.openxmlformats.org/officeDocument/2006/relationships/hyperlink" Id="rId52"/>
    <Relationship TargetMode="External" Target="https://www.legis.iowa.gov/docs/ico/chapter/17A.12.pdf" Type="http://schemas.openxmlformats.org/officeDocument/2006/relationships/hyperlink" Id="rId53"/>
    <Relationship TargetMode="External" Target="https://www.legis.iowa.gov/docs/ico/chapter/17A.18.pdf" Type="http://schemas.openxmlformats.org/officeDocument/2006/relationships/hyperlink" Id="rId54"/>
    <Relationship TargetMode="External" Target="https://www.legis.iowa.gov/docs/iac/chapter/441.16.pdf" Type="http://schemas.openxmlformats.org/officeDocument/2006/relationships/hyperlink" Id="rId55"/>
    <Relationship TargetMode="External" Target="https://www.legis.iowa.gov/docs/iac/chapter/441.7.pdf" Type="http://schemas.openxmlformats.org/officeDocument/2006/relationships/hyperlink" Id="rId56"/>
    <Relationship TargetMode="External" Target="https://www.legis.iowa.gov/docs/ico/chapter/147A.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